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878C3" w14:textId="77777777" w:rsidR="00C958FB" w:rsidRPr="00FA7EC5" w:rsidRDefault="00C958FB" w:rsidP="00C958FB">
      <w:pPr>
        <w:spacing w:after="0"/>
        <w:jc w:val="center"/>
        <w:rPr>
          <w:sz w:val="20"/>
          <w:szCs w:val="20"/>
        </w:rPr>
      </w:pPr>
      <w:bookmarkStart w:id="0" w:name="_Hlk90559096"/>
      <w:r w:rsidRPr="00FA7EC5">
        <w:rPr>
          <w:sz w:val="20"/>
          <w:szCs w:val="20"/>
        </w:rPr>
        <w:t xml:space="preserve">LIBERO INTERNATIONAL SICAV PLC </w:t>
      </w:r>
    </w:p>
    <w:bookmarkEnd w:id="0"/>
    <w:p w14:paraId="46A176F9" w14:textId="77777777" w:rsidR="00363DC8" w:rsidRDefault="00363DC8" w:rsidP="00363DC8">
      <w:pPr>
        <w:spacing w:after="0"/>
        <w:jc w:val="center"/>
        <w:rPr>
          <w:b/>
          <w:bCs/>
          <w:sz w:val="16"/>
          <w:szCs w:val="16"/>
        </w:rPr>
      </w:pPr>
    </w:p>
    <w:p w14:paraId="3B5E096C" w14:textId="77777777" w:rsidR="00363DC8" w:rsidRPr="004B7A7D" w:rsidRDefault="00363DC8" w:rsidP="00363DC8">
      <w:pPr>
        <w:spacing w:after="0"/>
        <w:jc w:val="center"/>
        <w:rPr>
          <w:b/>
          <w:bCs/>
          <w:sz w:val="16"/>
          <w:szCs w:val="16"/>
        </w:rPr>
      </w:pPr>
      <w:r>
        <w:rPr>
          <w:b/>
          <w:bCs/>
          <w:sz w:val="16"/>
          <w:szCs w:val="16"/>
        </w:rPr>
        <w:t>K</w:t>
      </w:r>
      <w:r w:rsidRPr="004B7A7D">
        <w:rPr>
          <w:b/>
          <w:bCs/>
          <w:sz w:val="16"/>
          <w:szCs w:val="16"/>
        </w:rPr>
        <w:t>EY INFORMATION DOCUMENT</w:t>
      </w:r>
    </w:p>
    <w:p w14:paraId="219C3B58" w14:textId="3F906493" w:rsidR="00363DC8" w:rsidRPr="004B7A7D" w:rsidRDefault="00363DC8" w:rsidP="00363DC8">
      <w:pPr>
        <w:spacing w:after="0"/>
        <w:jc w:val="center"/>
        <w:rPr>
          <w:sz w:val="16"/>
          <w:szCs w:val="16"/>
        </w:rPr>
      </w:pPr>
      <w:r>
        <w:rPr>
          <w:sz w:val="16"/>
          <w:szCs w:val="16"/>
        </w:rPr>
        <w:t xml:space="preserve">NEXUS GLOBAL CAUTIOUS PORTFOLIO – CLASS </w:t>
      </w:r>
      <w:r w:rsidR="00905D49">
        <w:rPr>
          <w:sz w:val="16"/>
          <w:szCs w:val="16"/>
        </w:rPr>
        <w:t>B</w:t>
      </w:r>
      <w:r>
        <w:rPr>
          <w:sz w:val="16"/>
          <w:szCs w:val="16"/>
        </w:rPr>
        <w:t xml:space="preserve"> EUR INVESTOR SHARES</w:t>
      </w:r>
    </w:p>
    <w:p w14:paraId="019D60E9" w14:textId="77777777" w:rsidR="00363DC8" w:rsidRDefault="00363DC8" w:rsidP="00363DC8">
      <w:pPr>
        <w:spacing w:after="0"/>
        <w:rPr>
          <w:sz w:val="16"/>
          <w:szCs w:val="16"/>
        </w:rPr>
      </w:pPr>
    </w:p>
    <w:p w14:paraId="0D9B7821" w14:textId="77777777" w:rsidR="00363DC8" w:rsidRPr="004B7A7D" w:rsidRDefault="00363DC8" w:rsidP="00363DC8">
      <w:pPr>
        <w:spacing w:after="0"/>
        <w:rPr>
          <w:sz w:val="16"/>
          <w:szCs w:val="16"/>
        </w:rPr>
      </w:pPr>
      <w:r w:rsidRPr="004B7A7D">
        <w:rPr>
          <w:sz w:val="16"/>
          <w:szCs w:val="16"/>
        </w:rPr>
        <w:t>PURPOSE</w:t>
      </w:r>
    </w:p>
    <w:p w14:paraId="205C4748" w14:textId="77777777" w:rsidR="00363DC8" w:rsidRPr="004B7A7D" w:rsidRDefault="00363DC8" w:rsidP="00363DC8">
      <w:pPr>
        <w:spacing w:after="0"/>
        <w:jc w:val="both"/>
        <w:rPr>
          <w:sz w:val="16"/>
          <w:szCs w:val="16"/>
        </w:rPr>
      </w:pPr>
      <w:r w:rsidRPr="004B7A7D">
        <w:rPr>
          <w:noProof/>
          <w:sz w:val="16"/>
          <w:szCs w:val="16"/>
        </w:rPr>
        <mc:AlternateContent>
          <mc:Choice Requires="wps">
            <w:drawing>
              <wp:inline distT="0" distB="0" distL="0" distR="0" wp14:anchorId="21ABCC98" wp14:editId="56D49964">
                <wp:extent cx="5986130" cy="21265"/>
                <wp:effectExtent l="0" t="0" r="34290" b="36195"/>
                <wp:docPr id="1" name="Straight Connector 1"/>
                <wp:cNvGraphicFramePr/>
                <a:graphic xmlns:a="http://schemas.openxmlformats.org/drawingml/2006/main">
                  <a:graphicData uri="http://schemas.microsoft.com/office/word/2010/wordprocessingShape">
                    <wps:wsp>
                      <wps:cNvCnPr/>
                      <wps:spPr>
                        <a:xfrm>
                          <a:off x="0" y="0"/>
                          <a:ext cx="5986130" cy="21265"/>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5725DC5"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471.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2t41AEAAAYEAAAOAAAAZHJzL2Uyb0RvYy54bWysU8tu2zAQvBfoPxC813oUdlPBcg4J0ksf&#10;QdN+AE0tLQJ8gWQs+e+7JG05aU8teqGl5c7szHi1vZ21IkfwQVrT02ZVUwKG20GaQ09//nh4d0NJ&#10;iMwMTFkDPT1BoLe7t2+2k+ugtaNVA3iCJCZ0k+vpGKPrqirwETQLK+vA4KWwXrOIr/5QDZ5NyK5V&#10;1db1ppqsH5y3HELA6n25pLvMLwTw+E2IAJGonqK2mE+fz306q92WdQfP3Cj5WQb7BxWaSYNDF6p7&#10;Fhl59vIPKi25t8GKuOJWV1YIySF7QDdN/Zubp5E5yF4wnOCWmML/o+Vfj3fm0WMMkwtdcI8+uZiF&#10;1+kX9ZE5h3VawoI5Eo7F9cebTfMeM+V41zbtZp3CrK5g50P8BFaT9NBTJU3ywjp2/Bxiab20pLIy&#10;ZMINaj/UdW4LVsnhQSqVLvM+wJ3y5Mjwn9wfmtyjnvUXO5TaZl0jsvAu7VnQCyaUpwwWr2bzUzwp&#10;KBq+gyByQHtlwEJUZjDOwcTmPEUZ7E4wgSoX4Fl9WuCr4NfAc3+CQt7RvwEviDzZmriAtTTWl+xe&#10;T4/zRbIo/ZcEiu8Uwd4Op7wGORpctpzc+cNI2/zyPcOvn+/uFwAAAP//AwBQSwMEFAAGAAgAAAAh&#10;ALChRWraAAAAAwEAAA8AAABkcnMvZG93bnJldi54bWxMj0FPwkAQhe8m/ofNmHgxsKUISu2WGBPi&#10;WSCE49Ad2sbubO0uUP31jl708pLJm7z3vXw5uFadqQ+NZwOTcQKKuPS24crAdrMaPYIKEdli65kM&#10;fFKAZXF9lWNm/YXf6LyOlZIQDhkaqGPsMq1DWZPDMPYdsXhH3zuMcvaVtj1eJNy1Ok2SuXbYsDTU&#10;2NFLTeX7+uSkZLW3G0rvdrj9+tgl9tWnk5k35vZmeH4CFWmIf8/wgy/oUAjTwZ/YBtUakCHxV8Vb&#10;3KcPoA4GplPQRa7/sxffAAAA//8DAFBLAQItABQABgAIAAAAIQC2gziS/gAAAOEBAAATAAAAAAAA&#10;AAAAAAAAAAAAAABbQ29udGVudF9UeXBlc10ueG1sUEsBAi0AFAAGAAgAAAAhADj9If/WAAAAlAEA&#10;AAsAAAAAAAAAAAAAAAAALwEAAF9yZWxzLy5yZWxzUEsBAi0AFAAGAAgAAAAhAG5Xa3jUAQAABgQA&#10;AA4AAAAAAAAAAAAAAAAALgIAAGRycy9lMm9Eb2MueG1sUEsBAi0AFAAGAAgAAAAhALChRWraAAAA&#10;AwEAAA8AAAAAAAAAAAAAAAAALgQAAGRycy9kb3ducmV2LnhtbFBLBQYAAAAABAAEAPMAAAA1BQAA&#10;AAA=&#10;" strokecolor="#a5a5a5 [2092]" strokeweight="1pt">
                <v:stroke joinstyle="miter"/>
                <w10:anchorlock/>
              </v:line>
            </w:pict>
          </mc:Fallback>
        </mc:AlternateContent>
      </w:r>
    </w:p>
    <w:p w14:paraId="0F276A77" w14:textId="77777777" w:rsidR="00363DC8" w:rsidRPr="004B7A7D" w:rsidRDefault="00363DC8" w:rsidP="00363DC8">
      <w:pPr>
        <w:spacing w:after="0"/>
        <w:jc w:val="both"/>
        <w:rPr>
          <w:sz w:val="16"/>
          <w:szCs w:val="16"/>
        </w:rPr>
      </w:pPr>
      <w:r w:rsidRPr="004B7A7D">
        <w:rPr>
          <w:sz w:val="16"/>
          <w:szCs w:val="16"/>
        </w:rPr>
        <w:t>This document provides you with the key information about this investment product. It is not marketing material. The information is required by law to help you understand the nature, risks, costs, potential gains and losses of this product and to help you compare it with other products.</w:t>
      </w:r>
    </w:p>
    <w:p w14:paraId="762C1621" w14:textId="77777777" w:rsidR="00363DC8" w:rsidRPr="004B7A7D" w:rsidRDefault="00363DC8" w:rsidP="00363DC8">
      <w:pPr>
        <w:spacing w:after="0"/>
        <w:jc w:val="both"/>
        <w:rPr>
          <w:sz w:val="16"/>
          <w:szCs w:val="16"/>
        </w:rPr>
      </w:pPr>
    </w:p>
    <w:p w14:paraId="1459EFB5" w14:textId="77777777" w:rsidR="00363DC8" w:rsidRPr="004B7A7D" w:rsidRDefault="00363DC8" w:rsidP="00363DC8">
      <w:pPr>
        <w:spacing w:after="0"/>
        <w:jc w:val="both"/>
        <w:rPr>
          <w:sz w:val="16"/>
          <w:szCs w:val="16"/>
        </w:rPr>
      </w:pPr>
      <w:r>
        <w:rPr>
          <w:sz w:val="16"/>
          <w:szCs w:val="16"/>
        </w:rPr>
        <w:t>GENERAL INFORMATION</w:t>
      </w:r>
    </w:p>
    <w:p w14:paraId="594DAA6D" w14:textId="77777777" w:rsidR="00363DC8" w:rsidRPr="004B7A7D" w:rsidRDefault="00363DC8" w:rsidP="00363DC8">
      <w:pPr>
        <w:spacing w:after="0"/>
        <w:jc w:val="both"/>
        <w:rPr>
          <w:sz w:val="16"/>
          <w:szCs w:val="16"/>
        </w:rPr>
      </w:pPr>
      <w:r w:rsidRPr="004B7A7D">
        <w:rPr>
          <w:noProof/>
          <w:sz w:val="16"/>
          <w:szCs w:val="16"/>
        </w:rPr>
        <mc:AlternateContent>
          <mc:Choice Requires="wps">
            <w:drawing>
              <wp:inline distT="0" distB="0" distL="0" distR="0" wp14:anchorId="350D77AE" wp14:editId="60B52CB2">
                <wp:extent cx="5943600" cy="20808"/>
                <wp:effectExtent l="0" t="0" r="19050" b="36830"/>
                <wp:docPr id="2" name="Straight Connector 2"/>
                <wp:cNvGraphicFramePr/>
                <a:graphic xmlns:a="http://schemas.openxmlformats.org/drawingml/2006/main">
                  <a:graphicData uri="http://schemas.microsoft.com/office/word/2010/wordprocessingShape">
                    <wps:wsp>
                      <wps:cNvCnPr/>
                      <wps:spPr>
                        <a:xfrm>
                          <a:off x="0" y="0"/>
                          <a:ext cx="5943600" cy="20808"/>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620112C"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46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aGq1AEAAAYEAAAOAAAAZHJzL2Uyb0RvYy54bWysU8tu2zAQvBfoPxC815LdxnUEyzkkSC99&#10;BG3zATS1tAjwBZKx5L/vkpTluD216IUilzuzs6Pl9m7UihzBB2lNS5eLmhIw3HbSHFr6/PPx3YaS&#10;EJnpmLIGWnqCQO92b99sB9fAyvZWdeAJkpjQDK6lfYyuqarAe9AsLKwDg5fCes0iHv2h6jwbkF2r&#10;alXX62qwvnPecggBow/lku4yvxDA4zchAkSiWoraYl59XvdprXZb1hw8c73kkwz2Dyo0kwaLzlQP&#10;LDLy4uUfVFpyb4MVccGtrqwQkkPuAbtZ1r9186NnDnIvaE5ws03h/9Hyr8d78+TRhsGFJrgnn7oY&#10;hdfpi/rImM06zWbBGAnH4M3th/frGj3leLeqN/UmmVldwM6H+AmsJmnTUiVN6oU17Pg5xJJ6Tklh&#10;ZciAE7T6iJzpHKyS3aNUKh/SPMC98uTI8E/uD8uco170F9uV2PqmRmThzeOT0rOgV0woTxkMXprN&#10;u3hSUDR8B0Fkh+2VAjNRqcE4BxOXUxVlMDvBBKqcgZP6a8HXwCk/QSHP6N+AZ0SubE2cwVoa64t3&#10;19XjeJYsSv7ZgdJ3smBvu1Meg2wNDlt2bnoYaZpfnzP88nx3vwAAAP//AwBQSwMEFAAGAAgAAAAh&#10;AIBCztfZAAAAAwEAAA8AAABkcnMvZG93bnJldi54bWxMj0FLw0AQhe+C/2EZoRexmyZYNGZTpFA8&#10;25bS4zQ7JsHsbMxu2+ivd/TSXgYeb3jve8VidJ060RBazwZm0wQUceVty7WB7Wb18AQqRGSLnWcy&#10;8E0BFuXtTYG59Wd+p9M61kpCOORooImxz7UOVUMOw9T3xOJ9+MFhFDnU2g54lnDX6TRJ5tphy9LQ&#10;YE/LhqrP9dFJyWpvN5Te73D787VL7JtPZ4/emMnd+PoCKtIYL8/why/oUArTwR/ZBtUZkCHx/4r3&#10;nM1FHgxkGeiy0Nfs5S8AAAD//wMAUEsBAi0AFAAGAAgAAAAhALaDOJL+AAAA4QEAABMAAAAAAAAA&#10;AAAAAAAAAAAAAFtDb250ZW50X1R5cGVzXS54bWxQSwECLQAUAAYACAAAACEAOP0h/9YAAACUAQAA&#10;CwAAAAAAAAAAAAAAAAAvAQAAX3JlbHMvLnJlbHNQSwECLQAUAAYACAAAACEAtRWhqtQBAAAGBAAA&#10;DgAAAAAAAAAAAAAAAAAuAgAAZHJzL2Uyb0RvYy54bWxQSwECLQAUAAYACAAAACEAgELO19kAAAAD&#10;AQAADwAAAAAAAAAAAAAAAAAuBAAAZHJzL2Rvd25yZXYueG1sUEsFBgAAAAAEAAQA8wAAADQFAAAA&#10;AA==&#10;" strokecolor="#a5a5a5 [2092]" strokeweight="1pt">
                <v:stroke joinstyle="miter"/>
                <w10:anchorlock/>
              </v:line>
            </w:pict>
          </mc:Fallback>
        </mc:AlternateContent>
      </w:r>
    </w:p>
    <w:p w14:paraId="138FEFDE" w14:textId="77777777" w:rsidR="00363DC8" w:rsidRDefault="00363DC8" w:rsidP="00363DC8">
      <w:pPr>
        <w:spacing w:after="0"/>
        <w:jc w:val="both"/>
        <w:rPr>
          <w:sz w:val="16"/>
          <w:szCs w:val="16"/>
        </w:rPr>
      </w:pPr>
      <w:r w:rsidRPr="004B7A7D">
        <w:rPr>
          <w:b/>
          <w:bCs/>
          <w:sz w:val="16"/>
          <w:szCs w:val="16"/>
        </w:rPr>
        <w:t>Product Name</w:t>
      </w:r>
      <w:r w:rsidRPr="004B7A7D">
        <w:rPr>
          <w:sz w:val="16"/>
          <w:szCs w:val="16"/>
        </w:rPr>
        <w:t xml:space="preserve">: </w:t>
      </w:r>
      <w:r>
        <w:rPr>
          <w:sz w:val="16"/>
          <w:szCs w:val="16"/>
        </w:rPr>
        <w:tab/>
      </w:r>
      <w:r>
        <w:rPr>
          <w:sz w:val="16"/>
          <w:szCs w:val="16"/>
        </w:rPr>
        <w:tab/>
      </w:r>
      <w:r w:rsidRPr="00367BCF">
        <w:rPr>
          <w:sz w:val="16"/>
          <w:szCs w:val="16"/>
        </w:rPr>
        <w:t>NEXUS GLOBAL</w:t>
      </w:r>
      <w:r>
        <w:rPr>
          <w:sz w:val="16"/>
          <w:szCs w:val="16"/>
        </w:rPr>
        <w:t xml:space="preserve"> CAUTIOUS</w:t>
      </w:r>
      <w:r w:rsidRPr="00367BCF">
        <w:rPr>
          <w:sz w:val="16"/>
          <w:szCs w:val="16"/>
        </w:rPr>
        <w:t xml:space="preserve"> PORTFOLIO</w:t>
      </w:r>
    </w:p>
    <w:p w14:paraId="13F1CA14" w14:textId="1B3F8F32" w:rsidR="00363DC8" w:rsidRDefault="00363DC8" w:rsidP="00363DC8">
      <w:pPr>
        <w:spacing w:after="0"/>
        <w:jc w:val="both"/>
        <w:rPr>
          <w:sz w:val="16"/>
          <w:szCs w:val="16"/>
        </w:rPr>
      </w:pPr>
      <w:r w:rsidRPr="004B7A7D">
        <w:rPr>
          <w:b/>
          <w:bCs/>
          <w:sz w:val="16"/>
          <w:szCs w:val="16"/>
        </w:rPr>
        <w:t>ISIN</w:t>
      </w:r>
      <w:r>
        <w:rPr>
          <w:b/>
          <w:bCs/>
          <w:sz w:val="16"/>
          <w:szCs w:val="16"/>
        </w:rPr>
        <w:t>:</w:t>
      </w:r>
      <w:r w:rsidRPr="004B7A7D">
        <w:rPr>
          <w:sz w:val="16"/>
          <w:szCs w:val="16"/>
        </w:rPr>
        <w:t xml:space="preserve"> </w:t>
      </w:r>
      <w:r>
        <w:rPr>
          <w:sz w:val="16"/>
          <w:szCs w:val="16"/>
        </w:rPr>
        <w:tab/>
      </w:r>
      <w:r>
        <w:rPr>
          <w:sz w:val="16"/>
          <w:szCs w:val="16"/>
        </w:rPr>
        <w:tab/>
      </w:r>
      <w:r>
        <w:rPr>
          <w:sz w:val="16"/>
          <w:szCs w:val="16"/>
        </w:rPr>
        <w:tab/>
      </w:r>
      <w:r w:rsidRPr="00FD34A7">
        <w:rPr>
          <w:sz w:val="16"/>
          <w:szCs w:val="16"/>
        </w:rPr>
        <w:t>MT70000328</w:t>
      </w:r>
      <w:r w:rsidR="00CA189B">
        <w:rPr>
          <w:sz w:val="16"/>
          <w:szCs w:val="16"/>
        </w:rPr>
        <w:t>50</w:t>
      </w:r>
    </w:p>
    <w:p w14:paraId="3F0AC99E" w14:textId="77777777" w:rsidR="00C958FB" w:rsidRDefault="00363DC8" w:rsidP="00C958FB">
      <w:pPr>
        <w:spacing w:after="0"/>
        <w:ind w:left="2160" w:hanging="2160"/>
        <w:jc w:val="both"/>
        <w:rPr>
          <w:sz w:val="16"/>
          <w:szCs w:val="16"/>
        </w:rPr>
      </w:pPr>
      <w:r w:rsidRPr="004B7A7D">
        <w:rPr>
          <w:b/>
          <w:bCs/>
          <w:sz w:val="16"/>
          <w:szCs w:val="16"/>
        </w:rPr>
        <w:t>P</w:t>
      </w:r>
      <w:r>
        <w:rPr>
          <w:b/>
          <w:bCs/>
          <w:sz w:val="16"/>
          <w:szCs w:val="16"/>
        </w:rPr>
        <w:t>roduct</w:t>
      </w:r>
      <w:r w:rsidRPr="004B7A7D">
        <w:rPr>
          <w:b/>
          <w:bCs/>
          <w:sz w:val="16"/>
          <w:szCs w:val="16"/>
        </w:rPr>
        <w:t xml:space="preserve"> manufacturer</w:t>
      </w:r>
      <w:r w:rsidRPr="004B7A7D">
        <w:rPr>
          <w:sz w:val="16"/>
          <w:szCs w:val="16"/>
        </w:rPr>
        <w:t xml:space="preserve">: </w:t>
      </w:r>
      <w:r>
        <w:rPr>
          <w:sz w:val="16"/>
          <w:szCs w:val="16"/>
        </w:rPr>
        <w:tab/>
      </w:r>
      <w:r w:rsidR="00C958FB">
        <w:rPr>
          <w:sz w:val="16"/>
          <w:szCs w:val="16"/>
        </w:rPr>
        <w:t>Libero International SICAV plc</w:t>
      </w:r>
      <w:r w:rsidR="00C958FB" w:rsidRPr="004B7A7D">
        <w:rPr>
          <w:sz w:val="16"/>
          <w:szCs w:val="16"/>
        </w:rPr>
        <w:t>,</w:t>
      </w:r>
      <w:r w:rsidR="00C958FB">
        <w:rPr>
          <w:sz w:val="16"/>
          <w:szCs w:val="16"/>
        </w:rPr>
        <w:t xml:space="preserve"> a Maltese multi-fund investment company, having its registered office at</w:t>
      </w:r>
      <w:r w:rsidR="00C958FB" w:rsidRPr="004B7A7D">
        <w:rPr>
          <w:sz w:val="16"/>
          <w:szCs w:val="16"/>
        </w:rPr>
        <w:t xml:space="preserve"> </w:t>
      </w:r>
      <w:r w:rsidR="00C958FB">
        <w:rPr>
          <w:sz w:val="16"/>
          <w:szCs w:val="16"/>
        </w:rPr>
        <w:t>Quad Central, Q3 Level 9, Triq l-Esportaturi, Zone 1, Central Business District, Birkirkara CBD 1040, Malta</w:t>
      </w:r>
      <w:r w:rsidR="00C958FB" w:rsidRPr="004B7A7D">
        <w:rPr>
          <w:sz w:val="16"/>
          <w:szCs w:val="16"/>
        </w:rPr>
        <w:t xml:space="preserve"> (founded 20</w:t>
      </w:r>
      <w:r w:rsidR="00C958FB">
        <w:rPr>
          <w:sz w:val="16"/>
          <w:szCs w:val="16"/>
        </w:rPr>
        <w:t>13</w:t>
      </w:r>
      <w:r w:rsidR="00C958FB" w:rsidRPr="004B7A7D">
        <w:rPr>
          <w:sz w:val="16"/>
          <w:szCs w:val="16"/>
        </w:rPr>
        <w:t>)</w:t>
      </w:r>
      <w:r w:rsidR="00C958FB">
        <w:rPr>
          <w:sz w:val="16"/>
          <w:szCs w:val="16"/>
        </w:rPr>
        <w:t>, and registered with the Malta Business Registry under number SV 271 (c</w:t>
      </w:r>
      <w:r w:rsidR="00C958FB" w:rsidRPr="004B7A7D">
        <w:rPr>
          <w:sz w:val="16"/>
          <w:szCs w:val="16"/>
        </w:rPr>
        <w:t xml:space="preserve">all: </w:t>
      </w:r>
      <w:r w:rsidR="00C958FB" w:rsidRPr="002950D2">
        <w:rPr>
          <w:sz w:val="16"/>
          <w:szCs w:val="16"/>
        </w:rPr>
        <w:t xml:space="preserve">+356 277 84010; </w:t>
      </w:r>
      <w:r w:rsidR="00C958FB">
        <w:rPr>
          <w:sz w:val="16"/>
          <w:szCs w:val="16"/>
        </w:rPr>
        <w:t xml:space="preserve">or visit </w:t>
      </w:r>
      <w:hyperlink r:id="rId11" w:history="1">
        <w:r w:rsidR="00C958FB" w:rsidRPr="00496C2F">
          <w:rPr>
            <w:rStyle w:val="Hyperlink"/>
            <w:sz w:val="16"/>
            <w:szCs w:val="16"/>
          </w:rPr>
          <w:t>www.blacktowerfm.com</w:t>
        </w:r>
      </w:hyperlink>
      <w:r w:rsidR="00C958FB">
        <w:rPr>
          <w:sz w:val="16"/>
          <w:szCs w:val="16"/>
        </w:rPr>
        <w:t xml:space="preserve"> </w:t>
      </w:r>
      <w:r w:rsidR="00C958FB" w:rsidRPr="004B7A7D">
        <w:rPr>
          <w:sz w:val="16"/>
          <w:szCs w:val="16"/>
        </w:rPr>
        <w:t xml:space="preserve">for more </w:t>
      </w:r>
      <w:r w:rsidR="00C958FB" w:rsidRPr="0030303E">
        <w:rPr>
          <w:sz w:val="16"/>
          <w:szCs w:val="16"/>
        </w:rPr>
        <w:t>information</w:t>
      </w:r>
      <w:r w:rsidR="00C958FB">
        <w:rPr>
          <w:sz w:val="16"/>
          <w:szCs w:val="16"/>
        </w:rPr>
        <w:t>)</w:t>
      </w:r>
    </w:p>
    <w:p w14:paraId="1BE5819A" w14:textId="77777777" w:rsidR="00C958FB" w:rsidRDefault="00C958FB" w:rsidP="00C958FB">
      <w:pPr>
        <w:spacing w:after="0"/>
        <w:ind w:left="2160" w:hanging="2160"/>
        <w:jc w:val="both"/>
        <w:rPr>
          <w:sz w:val="16"/>
          <w:szCs w:val="16"/>
        </w:rPr>
      </w:pPr>
      <w:r w:rsidRPr="0030303E">
        <w:rPr>
          <w:b/>
          <w:bCs/>
          <w:sz w:val="16"/>
          <w:szCs w:val="16"/>
        </w:rPr>
        <w:t xml:space="preserve">Competent </w:t>
      </w:r>
      <w:r>
        <w:rPr>
          <w:b/>
          <w:bCs/>
          <w:sz w:val="16"/>
          <w:szCs w:val="16"/>
        </w:rPr>
        <w:t>A</w:t>
      </w:r>
      <w:r w:rsidRPr="0030303E">
        <w:rPr>
          <w:b/>
          <w:bCs/>
          <w:sz w:val="16"/>
          <w:szCs w:val="16"/>
        </w:rPr>
        <w:t>uthority</w:t>
      </w:r>
      <w:r w:rsidRPr="0030303E">
        <w:rPr>
          <w:sz w:val="16"/>
          <w:szCs w:val="16"/>
        </w:rPr>
        <w:t xml:space="preserve">: </w:t>
      </w:r>
      <w:r>
        <w:rPr>
          <w:sz w:val="16"/>
          <w:szCs w:val="16"/>
        </w:rPr>
        <w:tab/>
      </w:r>
      <w:r w:rsidRPr="0030303E">
        <w:rPr>
          <w:sz w:val="16"/>
          <w:szCs w:val="16"/>
        </w:rPr>
        <w:t xml:space="preserve">Malta Financial Services Authority (MFSA) </w:t>
      </w:r>
    </w:p>
    <w:p w14:paraId="4EA9A432" w14:textId="290E3703" w:rsidR="00C958FB" w:rsidRDefault="00C958FB" w:rsidP="00C958FB">
      <w:pPr>
        <w:spacing w:after="0"/>
        <w:ind w:left="2160" w:hanging="2160"/>
        <w:jc w:val="both"/>
        <w:rPr>
          <w:sz w:val="16"/>
          <w:szCs w:val="16"/>
        </w:rPr>
      </w:pPr>
      <w:r w:rsidRPr="0030303E">
        <w:rPr>
          <w:b/>
          <w:bCs/>
          <w:sz w:val="16"/>
          <w:szCs w:val="16"/>
        </w:rPr>
        <w:t xml:space="preserve">Date of </w:t>
      </w:r>
      <w:r>
        <w:rPr>
          <w:b/>
          <w:bCs/>
          <w:sz w:val="16"/>
          <w:szCs w:val="16"/>
        </w:rPr>
        <w:t>this document</w:t>
      </w:r>
      <w:r w:rsidRPr="0030303E">
        <w:rPr>
          <w:sz w:val="16"/>
          <w:szCs w:val="16"/>
        </w:rPr>
        <w:t xml:space="preserve">: </w:t>
      </w:r>
      <w:r>
        <w:rPr>
          <w:sz w:val="16"/>
          <w:szCs w:val="16"/>
        </w:rPr>
        <w:tab/>
      </w:r>
      <w:r w:rsidR="006E38AB">
        <w:rPr>
          <w:sz w:val="16"/>
          <w:szCs w:val="16"/>
        </w:rPr>
        <w:t>November</w:t>
      </w:r>
      <w:r>
        <w:rPr>
          <w:sz w:val="16"/>
          <w:szCs w:val="16"/>
        </w:rPr>
        <w:t xml:space="preserve"> 2023</w:t>
      </w:r>
    </w:p>
    <w:p w14:paraId="5D0CF54B" w14:textId="77777777" w:rsidR="00C958FB" w:rsidRPr="004B7A7D" w:rsidRDefault="00C958FB" w:rsidP="00C958FB">
      <w:pPr>
        <w:spacing w:after="0"/>
        <w:ind w:left="2160" w:hanging="2160"/>
        <w:jc w:val="both"/>
        <w:rPr>
          <w:sz w:val="16"/>
          <w:szCs w:val="16"/>
        </w:rPr>
      </w:pPr>
    </w:p>
    <w:p w14:paraId="552B23FF" w14:textId="77777777" w:rsidR="00C958FB" w:rsidRDefault="00C958FB" w:rsidP="00C958FB">
      <w:pPr>
        <w:spacing w:after="0"/>
        <w:jc w:val="both"/>
        <w:rPr>
          <w:sz w:val="16"/>
          <w:szCs w:val="16"/>
        </w:rPr>
      </w:pPr>
      <w:r w:rsidRPr="00982EB8">
        <w:rPr>
          <w:sz w:val="16"/>
          <w:szCs w:val="16"/>
        </w:rPr>
        <w:t>You are about to purchase a product that is not simple and may be difficult to understand</w:t>
      </w:r>
      <w:r>
        <w:rPr>
          <w:sz w:val="16"/>
          <w:szCs w:val="16"/>
        </w:rPr>
        <w:t>.</w:t>
      </w:r>
    </w:p>
    <w:p w14:paraId="5FF75C35" w14:textId="648435A4" w:rsidR="00363DC8" w:rsidRPr="004B7A7D" w:rsidRDefault="00363DC8" w:rsidP="00C958FB">
      <w:pPr>
        <w:spacing w:after="0"/>
        <w:ind w:left="2160" w:hanging="2160"/>
        <w:jc w:val="both"/>
        <w:rPr>
          <w:sz w:val="16"/>
          <w:szCs w:val="16"/>
        </w:rPr>
      </w:pPr>
    </w:p>
    <w:p w14:paraId="2F99421C" w14:textId="77777777" w:rsidR="00363DC8" w:rsidRPr="004B7A7D" w:rsidRDefault="00363DC8" w:rsidP="00363DC8">
      <w:pPr>
        <w:spacing w:after="0"/>
        <w:jc w:val="both"/>
        <w:rPr>
          <w:sz w:val="16"/>
          <w:szCs w:val="16"/>
        </w:rPr>
      </w:pPr>
      <w:r w:rsidRPr="004B7A7D">
        <w:rPr>
          <w:sz w:val="16"/>
          <w:szCs w:val="16"/>
        </w:rPr>
        <w:t>WHAT IS THIS PRODUCT</w:t>
      </w:r>
      <w:r>
        <w:rPr>
          <w:sz w:val="16"/>
          <w:szCs w:val="16"/>
        </w:rPr>
        <w:t>?</w:t>
      </w:r>
    </w:p>
    <w:p w14:paraId="2589F262" w14:textId="77777777" w:rsidR="00363DC8" w:rsidRPr="004B7A7D" w:rsidRDefault="00363DC8" w:rsidP="00363DC8">
      <w:pPr>
        <w:spacing w:after="0"/>
        <w:jc w:val="both"/>
        <w:rPr>
          <w:sz w:val="16"/>
          <w:szCs w:val="16"/>
        </w:rPr>
      </w:pPr>
      <w:r w:rsidRPr="004B7A7D">
        <w:rPr>
          <w:noProof/>
          <w:sz w:val="16"/>
          <w:szCs w:val="16"/>
        </w:rPr>
        <mc:AlternateContent>
          <mc:Choice Requires="wps">
            <w:drawing>
              <wp:inline distT="0" distB="0" distL="0" distR="0" wp14:anchorId="21808461" wp14:editId="5A633D4D">
                <wp:extent cx="5943600" cy="20320"/>
                <wp:effectExtent l="0" t="0" r="19050" b="36830"/>
                <wp:docPr id="3" name="Straight Connector 3"/>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26E254C"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382454A5" w14:textId="77777777" w:rsidR="00363DC8" w:rsidRDefault="00363DC8" w:rsidP="00363DC8">
      <w:pPr>
        <w:tabs>
          <w:tab w:val="left" w:pos="4678"/>
        </w:tabs>
        <w:spacing w:after="0"/>
        <w:rPr>
          <w:b/>
          <w:bCs/>
          <w:sz w:val="16"/>
          <w:szCs w:val="16"/>
        </w:rPr>
        <w:sectPr w:rsidR="00363DC8">
          <w:footerReference w:type="default" r:id="rId12"/>
          <w:pgSz w:w="12240" w:h="15840"/>
          <w:pgMar w:top="1440" w:right="1440" w:bottom="1440" w:left="1440" w:header="720" w:footer="720" w:gutter="0"/>
          <w:cols w:space="720"/>
          <w:docGrid w:linePitch="360"/>
        </w:sectPr>
      </w:pPr>
    </w:p>
    <w:p w14:paraId="64D01CE0" w14:textId="77777777" w:rsidR="00363DC8" w:rsidRPr="004B7A7D" w:rsidRDefault="00363DC8" w:rsidP="00363DC8">
      <w:pPr>
        <w:tabs>
          <w:tab w:val="left" w:pos="4678"/>
        </w:tabs>
        <w:spacing w:after="0"/>
        <w:rPr>
          <w:b/>
          <w:bCs/>
          <w:sz w:val="16"/>
          <w:szCs w:val="16"/>
        </w:rPr>
      </w:pPr>
      <w:r w:rsidRPr="004B7A7D">
        <w:rPr>
          <w:b/>
          <w:bCs/>
          <w:sz w:val="16"/>
          <w:szCs w:val="16"/>
        </w:rPr>
        <w:t>Type</w:t>
      </w:r>
    </w:p>
    <w:p w14:paraId="1EF09C89" w14:textId="77777777" w:rsidR="00363DC8" w:rsidRDefault="00363DC8" w:rsidP="00363DC8">
      <w:pPr>
        <w:tabs>
          <w:tab w:val="left" w:pos="4678"/>
        </w:tabs>
        <w:spacing w:after="0"/>
        <w:jc w:val="both"/>
        <w:rPr>
          <w:sz w:val="16"/>
          <w:szCs w:val="16"/>
        </w:rPr>
      </w:pPr>
    </w:p>
    <w:p w14:paraId="3AEF404C" w14:textId="4CC38B2F" w:rsidR="00363DC8" w:rsidRDefault="00C958FB" w:rsidP="00C958FB">
      <w:pPr>
        <w:tabs>
          <w:tab w:val="left" w:pos="4678"/>
        </w:tabs>
        <w:spacing w:after="0"/>
        <w:jc w:val="both"/>
        <w:rPr>
          <w:sz w:val="16"/>
          <w:szCs w:val="16"/>
        </w:rPr>
      </w:pPr>
      <w:r>
        <w:rPr>
          <w:sz w:val="16"/>
          <w:szCs w:val="16"/>
        </w:rPr>
        <w:t xml:space="preserve">NEXUS GLOBAL CAUTIOUS PORTFOLIO (the “Fund”) </w:t>
      </w:r>
      <w:r w:rsidRPr="002E5023">
        <w:rPr>
          <w:sz w:val="16"/>
          <w:szCs w:val="16"/>
        </w:rPr>
        <w:t>is a</w:t>
      </w:r>
      <w:r>
        <w:rPr>
          <w:sz w:val="16"/>
          <w:szCs w:val="16"/>
        </w:rPr>
        <w:t xml:space="preserve"> self-managed</w:t>
      </w:r>
      <w:r w:rsidRPr="002E5023">
        <w:rPr>
          <w:sz w:val="16"/>
          <w:szCs w:val="16"/>
        </w:rPr>
        <w:t xml:space="preserve"> sub-fund of</w:t>
      </w:r>
      <w:r w:rsidRPr="002E5023">
        <w:t xml:space="preserve"> </w:t>
      </w:r>
      <w:r>
        <w:rPr>
          <w:sz w:val="16"/>
          <w:szCs w:val="16"/>
        </w:rPr>
        <w:t>LIBERO INTERNATIONAL SICAV</w:t>
      </w:r>
      <w:r w:rsidRPr="00BD0A49">
        <w:rPr>
          <w:sz w:val="16"/>
          <w:szCs w:val="16"/>
        </w:rPr>
        <w:t xml:space="preserve"> PLC</w:t>
      </w:r>
      <w:r>
        <w:rPr>
          <w:sz w:val="16"/>
          <w:szCs w:val="16"/>
        </w:rPr>
        <w:t xml:space="preserve">, </w:t>
      </w:r>
      <w:r w:rsidRPr="0009501B">
        <w:rPr>
          <w:sz w:val="16"/>
          <w:szCs w:val="16"/>
        </w:rPr>
        <w:t>which</w:t>
      </w:r>
      <w:r>
        <w:rPr>
          <w:sz w:val="16"/>
          <w:szCs w:val="16"/>
        </w:rPr>
        <w:t xml:space="preserve"> </w:t>
      </w:r>
      <w:r w:rsidRPr="0009501B">
        <w:rPr>
          <w:sz w:val="16"/>
          <w:szCs w:val="16"/>
        </w:rPr>
        <w:t>is a Company organised under the laws of Malta as a multi-fund investment</w:t>
      </w:r>
      <w:r>
        <w:rPr>
          <w:sz w:val="16"/>
          <w:szCs w:val="16"/>
        </w:rPr>
        <w:t xml:space="preserve"> </w:t>
      </w:r>
      <w:r w:rsidRPr="0009501B">
        <w:rPr>
          <w:sz w:val="16"/>
          <w:szCs w:val="16"/>
        </w:rPr>
        <w:t>company with variable share capital (SICAV). The Company consists of</w:t>
      </w:r>
      <w:r>
        <w:rPr>
          <w:sz w:val="16"/>
          <w:szCs w:val="16"/>
        </w:rPr>
        <w:t xml:space="preserve"> </w:t>
      </w:r>
      <w:r w:rsidRPr="0009501B">
        <w:rPr>
          <w:sz w:val="16"/>
          <w:szCs w:val="16"/>
        </w:rPr>
        <w:t xml:space="preserve">separate classes of shares constituting segregated </w:t>
      </w:r>
      <w:r>
        <w:rPr>
          <w:sz w:val="16"/>
          <w:szCs w:val="16"/>
        </w:rPr>
        <w:t>s</w:t>
      </w:r>
      <w:r w:rsidRPr="0009501B">
        <w:rPr>
          <w:sz w:val="16"/>
          <w:szCs w:val="16"/>
        </w:rPr>
        <w:t>ub-</w:t>
      </w:r>
      <w:r>
        <w:rPr>
          <w:sz w:val="16"/>
          <w:szCs w:val="16"/>
        </w:rPr>
        <w:t>f</w:t>
      </w:r>
      <w:r w:rsidRPr="0009501B">
        <w:rPr>
          <w:sz w:val="16"/>
          <w:szCs w:val="16"/>
        </w:rPr>
        <w:t>unds which are</w:t>
      </w:r>
      <w:r>
        <w:rPr>
          <w:sz w:val="16"/>
          <w:szCs w:val="16"/>
        </w:rPr>
        <w:t xml:space="preserve"> </w:t>
      </w:r>
      <w:r w:rsidRPr="0009501B">
        <w:rPr>
          <w:sz w:val="16"/>
          <w:szCs w:val="16"/>
        </w:rPr>
        <w:t>segregated patrimonies.</w:t>
      </w:r>
      <w:r>
        <w:rPr>
          <w:sz w:val="16"/>
          <w:szCs w:val="16"/>
        </w:rPr>
        <w:t xml:space="preserve"> The Company is licensed by the Malta Financial Services Authority under license number LIBS-4980</w:t>
      </w:r>
    </w:p>
    <w:p w14:paraId="04BF651E" w14:textId="77777777" w:rsidR="00C958FB" w:rsidRDefault="00C958FB" w:rsidP="00C958FB">
      <w:pPr>
        <w:tabs>
          <w:tab w:val="left" w:pos="4678"/>
        </w:tabs>
        <w:spacing w:after="0"/>
        <w:jc w:val="both"/>
        <w:rPr>
          <w:b/>
          <w:bCs/>
          <w:sz w:val="16"/>
          <w:szCs w:val="16"/>
        </w:rPr>
      </w:pPr>
    </w:p>
    <w:p w14:paraId="07826613" w14:textId="77777777" w:rsidR="00363DC8" w:rsidRPr="004B7A7D" w:rsidRDefault="00363DC8" w:rsidP="00363DC8">
      <w:pPr>
        <w:tabs>
          <w:tab w:val="left" w:pos="4678"/>
        </w:tabs>
        <w:spacing w:after="0"/>
        <w:rPr>
          <w:b/>
          <w:bCs/>
          <w:sz w:val="16"/>
          <w:szCs w:val="16"/>
        </w:rPr>
      </w:pPr>
      <w:r w:rsidRPr="004B7A7D">
        <w:rPr>
          <w:b/>
          <w:bCs/>
          <w:sz w:val="16"/>
          <w:szCs w:val="16"/>
        </w:rPr>
        <w:t>Objective</w:t>
      </w:r>
    </w:p>
    <w:p w14:paraId="30929ECD" w14:textId="77777777" w:rsidR="00363DC8" w:rsidRDefault="00363DC8" w:rsidP="00363DC8">
      <w:pPr>
        <w:pStyle w:val="Default"/>
        <w:tabs>
          <w:tab w:val="left" w:pos="4678"/>
        </w:tabs>
        <w:jc w:val="both"/>
        <w:rPr>
          <w:sz w:val="16"/>
          <w:szCs w:val="16"/>
        </w:rPr>
      </w:pPr>
    </w:p>
    <w:p w14:paraId="03E2E549" w14:textId="77777777" w:rsidR="00363DC8" w:rsidRDefault="00363DC8" w:rsidP="00363DC8">
      <w:pPr>
        <w:pStyle w:val="Default"/>
        <w:tabs>
          <w:tab w:val="left" w:pos="4678"/>
        </w:tabs>
        <w:jc w:val="both"/>
        <w:rPr>
          <w:sz w:val="16"/>
          <w:szCs w:val="16"/>
        </w:rPr>
      </w:pPr>
      <w:r w:rsidRPr="004B7A7D">
        <w:rPr>
          <w:sz w:val="16"/>
          <w:szCs w:val="16"/>
        </w:rPr>
        <w:t xml:space="preserve">The investment objective of this </w:t>
      </w:r>
      <w:r>
        <w:rPr>
          <w:sz w:val="16"/>
          <w:szCs w:val="16"/>
        </w:rPr>
        <w:t>Fund</w:t>
      </w:r>
      <w:r w:rsidRPr="004B7A7D">
        <w:rPr>
          <w:sz w:val="16"/>
          <w:szCs w:val="16"/>
        </w:rPr>
        <w:t xml:space="preserve"> </w:t>
      </w:r>
      <w:r>
        <w:rPr>
          <w:sz w:val="16"/>
          <w:szCs w:val="16"/>
        </w:rPr>
        <w:t>is to provide capital growth</w:t>
      </w:r>
      <w:r w:rsidRPr="004B7A7D">
        <w:rPr>
          <w:sz w:val="16"/>
          <w:szCs w:val="16"/>
        </w:rPr>
        <w:t xml:space="preserve">. </w:t>
      </w:r>
    </w:p>
    <w:p w14:paraId="3282C796" w14:textId="77777777" w:rsidR="00363DC8" w:rsidRPr="00C21691" w:rsidRDefault="00363DC8" w:rsidP="00363DC8">
      <w:pPr>
        <w:pStyle w:val="Default"/>
        <w:tabs>
          <w:tab w:val="left" w:pos="4678"/>
        </w:tabs>
        <w:jc w:val="both"/>
        <w:rPr>
          <w:rFonts w:asciiTheme="minorHAnsi" w:hAnsiTheme="minorHAnsi" w:cstheme="minorBidi"/>
          <w:b/>
          <w:bCs/>
          <w:color w:val="auto"/>
          <w:sz w:val="16"/>
          <w:szCs w:val="16"/>
        </w:rPr>
      </w:pPr>
    </w:p>
    <w:p w14:paraId="5E2F8375" w14:textId="77777777" w:rsidR="00363DC8" w:rsidRPr="00C21691" w:rsidRDefault="00363DC8" w:rsidP="00363DC8">
      <w:pPr>
        <w:pStyle w:val="Default"/>
        <w:jc w:val="both"/>
        <w:rPr>
          <w:rFonts w:asciiTheme="minorHAnsi" w:hAnsiTheme="minorHAnsi" w:cstheme="minorBidi"/>
          <w:b/>
          <w:bCs/>
          <w:color w:val="auto"/>
          <w:sz w:val="16"/>
          <w:szCs w:val="16"/>
        </w:rPr>
      </w:pPr>
      <w:r w:rsidRPr="00C21691">
        <w:rPr>
          <w:rFonts w:asciiTheme="minorHAnsi" w:hAnsiTheme="minorHAnsi" w:cstheme="minorBidi"/>
          <w:b/>
          <w:bCs/>
          <w:color w:val="auto"/>
          <w:sz w:val="16"/>
          <w:szCs w:val="16"/>
        </w:rPr>
        <w:t xml:space="preserve">Investment Policy </w:t>
      </w:r>
    </w:p>
    <w:p w14:paraId="5FD301A9" w14:textId="77777777" w:rsidR="00363DC8" w:rsidRDefault="00363DC8" w:rsidP="00363DC8">
      <w:pPr>
        <w:pStyle w:val="Default"/>
        <w:tabs>
          <w:tab w:val="left" w:pos="4678"/>
        </w:tabs>
        <w:jc w:val="both"/>
        <w:rPr>
          <w:sz w:val="16"/>
          <w:szCs w:val="16"/>
        </w:rPr>
      </w:pPr>
    </w:p>
    <w:p w14:paraId="3CF38849" w14:textId="2B1E1BD7" w:rsidR="00363DC8" w:rsidRDefault="00363DC8" w:rsidP="00363DC8">
      <w:pPr>
        <w:pStyle w:val="Default"/>
        <w:tabs>
          <w:tab w:val="left" w:pos="4678"/>
        </w:tabs>
        <w:jc w:val="both"/>
        <w:rPr>
          <w:sz w:val="16"/>
          <w:szCs w:val="16"/>
        </w:rPr>
      </w:pPr>
      <w:r w:rsidRPr="004B7A7D">
        <w:rPr>
          <w:sz w:val="16"/>
          <w:szCs w:val="16"/>
        </w:rPr>
        <w:t xml:space="preserve">To reach this goal the </w:t>
      </w:r>
      <w:r w:rsidR="00740FAF">
        <w:rPr>
          <w:sz w:val="16"/>
          <w:szCs w:val="16"/>
        </w:rPr>
        <w:t>F</w:t>
      </w:r>
      <w:r>
        <w:rPr>
          <w:sz w:val="16"/>
          <w:szCs w:val="16"/>
        </w:rPr>
        <w:t>und</w:t>
      </w:r>
      <w:r w:rsidRPr="004B7A7D">
        <w:rPr>
          <w:sz w:val="16"/>
          <w:szCs w:val="16"/>
        </w:rPr>
        <w:t xml:space="preserve"> </w:t>
      </w:r>
      <w:r>
        <w:rPr>
          <w:sz w:val="16"/>
          <w:szCs w:val="16"/>
        </w:rPr>
        <w:t>shall invest as follows:</w:t>
      </w:r>
    </w:p>
    <w:p w14:paraId="65C034D4" w14:textId="77777777" w:rsidR="00363DC8" w:rsidRPr="0033066C" w:rsidRDefault="00363DC8" w:rsidP="00363DC8">
      <w:pPr>
        <w:pStyle w:val="Default"/>
        <w:numPr>
          <w:ilvl w:val="0"/>
          <w:numId w:val="1"/>
        </w:numPr>
        <w:tabs>
          <w:tab w:val="left" w:pos="4678"/>
        </w:tabs>
        <w:jc w:val="both"/>
        <w:rPr>
          <w:sz w:val="16"/>
          <w:szCs w:val="16"/>
          <w:lang w:val="en-GB"/>
        </w:rPr>
      </w:pPr>
      <w:r w:rsidRPr="0033066C">
        <w:rPr>
          <w:sz w:val="16"/>
          <w:szCs w:val="16"/>
          <w:lang w:val="en-GB"/>
        </w:rPr>
        <w:t>Strategic allocation in a portfolio of transferable securities (including investment trusts), collective investment schemes, deposits, and forward foreign exchange contracts.</w:t>
      </w:r>
    </w:p>
    <w:p w14:paraId="19B7A0D4" w14:textId="77777777" w:rsidR="00363DC8" w:rsidRPr="0033066C" w:rsidRDefault="00363DC8" w:rsidP="00363DC8">
      <w:pPr>
        <w:pStyle w:val="Default"/>
        <w:numPr>
          <w:ilvl w:val="0"/>
          <w:numId w:val="1"/>
        </w:numPr>
        <w:tabs>
          <w:tab w:val="left" w:pos="4678"/>
        </w:tabs>
        <w:jc w:val="both"/>
        <w:rPr>
          <w:sz w:val="16"/>
          <w:szCs w:val="16"/>
          <w:lang w:val="en-GB"/>
        </w:rPr>
      </w:pPr>
      <w:r w:rsidRPr="0033066C">
        <w:rPr>
          <w:sz w:val="16"/>
          <w:szCs w:val="16"/>
          <w:lang w:val="en-GB"/>
        </w:rPr>
        <w:t xml:space="preserve">The </w:t>
      </w:r>
      <w:r>
        <w:rPr>
          <w:sz w:val="16"/>
          <w:szCs w:val="16"/>
          <w:lang w:val="en-GB"/>
        </w:rPr>
        <w:t>F</w:t>
      </w:r>
      <w:r w:rsidRPr="0033066C">
        <w:rPr>
          <w:sz w:val="16"/>
          <w:szCs w:val="16"/>
          <w:lang w:val="en-GB"/>
        </w:rPr>
        <w:t xml:space="preserve">und will primarily invest in investment grade sovereign or corporate bonds. There will be no bias towards any sovereign or market sector or duration. These holdings will be the core of the portfolio. </w:t>
      </w:r>
    </w:p>
    <w:p w14:paraId="34A1A980" w14:textId="77777777" w:rsidR="00363DC8" w:rsidRPr="0033066C" w:rsidRDefault="00363DC8" w:rsidP="00363DC8">
      <w:pPr>
        <w:pStyle w:val="Default"/>
        <w:numPr>
          <w:ilvl w:val="0"/>
          <w:numId w:val="1"/>
        </w:numPr>
        <w:tabs>
          <w:tab w:val="left" w:pos="4678"/>
        </w:tabs>
        <w:jc w:val="both"/>
        <w:rPr>
          <w:sz w:val="16"/>
          <w:szCs w:val="16"/>
          <w:lang w:val="en-GB"/>
        </w:rPr>
      </w:pPr>
      <w:r w:rsidRPr="0033066C">
        <w:rPr>
          <w:sz w:val="16"/>
          <w:szCs w:val="16"/>
          <w:lang w:val="en-GB"/>
        </w:rPr>
        <w:t>Investments in investment trusts shall only form a modest part of the portfolio and shall not exceed 5% of the NAV of the Fund. Additionally, the targeted investment trusts shall fall under the definition of transferable securities or other permissible instruments under the UCITS Directive.</w:t>
      </w:r>
    </w:p>
    <w:p w14:paraId="38F06E17" w14:textId="77777777" w:rsidR="00363DC8" w:rsidRPr="0033066C" w:rsidRDefault="00363DC8" w:rsidP="00363DC8">
      <w:pPr>
        <w:pStyle w:val="Default"/>
        <w:numPr>
          <w:ilvl w:val="0"/>
          <w:numId w:val="1"/>
        </w:numPr>
        <w:tabs>
          <w:tab w:val="left" w:pos="4678"/>
        </w:tabs>
        <w:jc w:val="both"/>
        <w:rPr>
          <w:sz w:val="16"/>
          <w:szCs w:val="16"/>
          <w:lang w:val="en-GB"/>
        </w:rPr>
      </w:pPr>
      <w:r w:rsidRPr="0033066C">
        <w:rPr>
          <w:sz w:val="16"/>
          <w:szCs w:val="16"/>
          <w:lang w:val="en-GB"/>
        </w:rPr>
        <w:t xml:space="preserve">The </w:t>
      </w:r>
      <w:r>
        <w:rPr>
          <w:sz w:val="16"/>
          <w:szCs w:val="16"/>
          <w:lang w:val="en-GB"/>
        </w:rPr>
        <w:t>F</w:t>
      </w:r>
      <w:r w:rsidRPr="0033066C">
        <w:rPr>
          <w:sz w:val="16"/>
          <w:szCs w:val="16"/>
          <w:lang w:val="en-GB"/>
        </w:rPr>
        <w:t>und may also invest in a diversified portfolio of listed companies which have a minimum market capital of over £300 million at the point of investment.</w:t>
      </w:r>
    </w:p>
    <w:p w14:paraId="7ABC32FB" w14:textId="77777777" w:rsidR="00363DC8" w:rsidRPr="00C41A82" w:rsidRDefault="00363DC8" w:rsidP="00363DC8">
      <w:pPr>
        <w:pStyle w:val="Default"/>
        <w:numPr>
          <w:ilvl w:val="0"/>
          <w:numId w:val="1"/>
        </w:numPr>
        <w:tabs>
          <w:tab w:val="left" w:pos="4678"/>
        </w:tabs>
        <w:jc w:val="both"/>
        <w:rPr>
          <w:sz w:val="16"/>
          <w:szCs w:val="16"/>
          <w:lang w:val="en-GB"/>
        </w:rPr>
      </w:pPr>
      <w:r w:rsidRPr="0033066C">
        <w:rPr>
          <w:sz w:val="16"/>
          <w:szCs w:val="16"/>
          <w:lang w:val="en-GB"/>
        </w:rPr>
        <w:t>No restrictions in terms of investment type, geographical or economic sector.</w:t>
      </w:r>
      <w:r w:rsidRPr="00C41A82">
        <w:rPr>
          <w:rFonts w:eastAsia="MS Mincho" w:cs="Tahoma"/>
          <w:sz w:val="18"/>
          <w:lang w:val="en-GB"/>
        </w:rPr>
        <w:t xml:space="preserve"> </w:t>
      </w:r>
    </w:p>
    <w:p w14:paraId="20FCC417" w14:textId="77777777" w:rsidR="00363DC8" w:rsidRPr="0033066C" w:rsidRDefault="00363DC8" w:rsidP="00363DC8">
      <w:pPr>
        <w:pStyle w:val="Default"/>
        <w:numPr>
          <w:ilvl w:val="0"/>
          <w:numId w:val="1"/>
        </w:numPr>
        <w:tabs>
          <w:tab w:val="left" w:pos="4678"/>
        </w:tabs>
        <w:jc w:val="both"/>
        <w:rPr>
          <w:sz w:val="16"/>
          <w:szCs w:val="16"/>
          <w:lang w:val="en-GB"/>
        </w:rPr>
      </w:pPr>
      <w:r w:rsidRPr="00C41A82">
        <w:rPr>
          <w:sz w:val="16"/>
          <w:szCs w:val="16"/>
          <w:lang w:val="en-GB"/>
        </w:rPr>
        <w:t>Forward foreign exchange contracts may be used to hedge currency exposure and minimise volatility in each investor share class. However, on giving 60 days’ prior notice to Shareholders, the Fund may, in addition to its other investment powers commence using these contracts or derivatives for investment purposes.</w:t>
      </w:r>
    </w:p>
    <w:p w14:paraId="1BFB7868" w14:textId="77777777" w:rsidR="00363DC8" w:rsidRDefault="00363DC8" w:rsidP="00363DC8">
      <w:pPr>
        <w:pStyle w:val="Default"/>
        <w:tabs>
          <w:tab w:val="left" w:pos="4678"/>
        </w:tabs>
        <w:jc w:val="both"/>
        <w:rPr>
          <w:sz w:val="16"/>
          <w:szCs w:val="16"/>
        </w:rPr>
      </w:pPr>
    </w:p>
    <w:p w14:paraId="1946DD4A" w14:textId="77777777" w:rsidR="00363DC8" w:rsidRDefault="00363DC8" w:rsidP="00363DC8">
      <w:pPr>
        <w:pStyle w:val="Default"/>
        <w:tabs>
          <w:tab w:val="left" w:pos="4678"/>
        </w:tabs>
        <w:jc w:val="both"/>
        <w:rPr>
          <w:sz w:val="16"/>
          <w:szCs w:val="16"/>
        </w:rPr>
      </w:pPr>
      <w:r w:rsidRPr="00356DD6">
        <w:rPr>
          <w:sz w:val="16"/>
          <w:szCs w:val="16"/>
        </w:rPr>
        <w:t>For full details, please</w:t>
      </w:r>
      <w:r>
        <w:rPr>
          <w:sz w:val="16"/>
          <w:szCs w:val="16"/>
        </w:rPr>
        <w:t xml:space="preserve"> refer to the prospectus of the Fund.</w:t>
      </w:r>
    </w:p>
    <w:p w14:paraId="4EA41981" w14:textId="77777777" w:rsidR="00363DC8" w:rsidRPr="004B7A7D" w:rsidRDefault="00363DC8" w:rsidP="00363DC8">
      <w:pPr>
        <w:pStyle w:val="Default"/>
        <w:tabs>
          <w:tab w:val="left" w:pos="4678"/>
        </w:tabs>
        <w:jc w:val="both"/>
        <w:rPr>
          <w:sz w:val="16"/>
          <w:szCs w:val="16"/>
        </w:rPr>
      </w:pPr>
    </w:p>
    <w:p w14:paraId="0873377E" w14:textId="77777777" w:rsidR="00363DC8" w:rsidRPr="004B7A7D" w:rsidRDefault="00363DC8" w:rsidP="00363DC8">
      <w:pPr>
        <w:tabs>
          <w:tab w:val="left" w:pos="4678"/>
        </w:tabs>
        <w:spacing w:after="0"/>
        <w:jc w:val="both"/>
        <w:rPr>
          <w:b/>
          <w:bCs/>
          <w:sz w:val="16"/>
          <w:szCs w:val="16"/>
        </w:rPr>
      </w:pPr>
      <w:r w:rsidRPr="004B7A7D">
        <w:rPr>
          <w:b/>
          <w:bCs/>
          <w:sz w:val="16"/>
          <w:szCs w:val="16"/>
        </w:rPr>
        <w:t>Intended retail investor</w:t>
      </w:r>
    </w:p>
    <w:p w14:paraId="47249724" w14:textId="77777777" w:rsidR="00363DC8" w:rsidRDefault="00363DC8" w:rsidP="00363DC8">
      <w:pPr>
        <w:tabs>
          <w:tab w:val="left" w:pos="4678"/>
        </w:tabs>
        <w:spacing w:after="0"/>
        <w:jc w:val="both"/>
        <w:rPr>
          <w:sz w:val="16"/>
          <w:szCs w:val="16"/>
        </w:rPr>
      </w:pPr>
    </w:p>
    <w:p w14:paraId="25E302BB" w14:textId="77777777" w:rsidR="00C958FB" w:rsidRDefault="00C958FB" w:rsidP="00C958FB">
      <w:pPr>
        <w:tabs>
          <w:tab w:val="left" w:pos="4678"/>
        </w:tabs>
        <w:spacing w:after="0"/>
        <w:jc w:val="both"/>
        <w:rPr>
          <w:sz w:val="16"/>
          <w:szCs w:val="16"/>
        </w:rPr>
      </w:pPr>
      <w:r w:rsidRPr="004F776C">
        <w:rPr>
          <w:sz w:val="16"/>
          <w:szCs w:val="16"/>
        </w:rPr>
        <w:t>The Fund aims to meet the needs of all types of</w:t>
      </w:r>
      <w:r>
        <w:rPr>
          <w:sz w:val="16"/>
          <w:szCs w:val="16"/>
        </w:rPr>
        <w:t xml:space="preserve"> </w:t>
      </w:r>
      <w:r w:rsidRPr="004F776C">
        <w:rPr>
          <w:sz w:val="16"/>
          <w:szCs w:val="16"/>
        </w:rPr>
        <w:t xml:space="preserve">investors who are </w:t>
      </w:r>
      <w:r w:rsidRPr="00982EB8">
        <w:rPr>
          <w:sz w:val="16"/>
          <w:szCs w:val="16"/>
        </w:rPr>
        <w:t xml:space="preserve">looking for </w:t>
      </w:r>
      <w:r w:rsidRPr="00982EB8">
        <w:rPr>
          <w:iCs/>
          <w:sz w:val="16"/>
          <w:szCs w:val="16"/>
        </w:rPr>
        <w:t xml:space="preserve">capital </w:t>
      </w:r>
      <w:r>
        <w:rPr>
          <w:iCs/>
          <w:sz w:val="16"/>
          <w:szCs w:val="16"/>
        </w:rPr>
        <w:t xml:space="preserve">growth and income </w:t>
      </w:r>
      <w:r w:rsidRPr="00982EB8">
        <w:rPr>
          <w:iCs/>
          <w:sz w:val="16"/>
          <w:szCs w:val="16"/>
        </w:rPr>
        <w:t xml:space="preserve">with a medium to long term investment time horizon, i.e. they should plan to hold the Fund for at least </w:t>
      </w:r>
      <w:r>
        <w:rPr>
          <w:iCs/>
          <w:sz w:val="16"/>
          <w:szCs w:val="16"/>
        </w:rPr>
        <w:t>three</w:t>
      </w:r>
      <w:r w:rsidRPr="00982EB8">
        <w:rPr>
          <w:iCs/>
          <w:sz w:val="16"/>
          <w:szCs w:val="16"/>
        </w:rPr>
        <w:t xml:space="preserve"> years</w:t>
      </w:r>
      <w:r w:rsidRPr="00982EB8">
        <w:rPr>
          <w:sz w:val="16"/>
          <w:szCs w:val="16"/>
        </w:rPr>
        <w:t>. The Fund is designed for use either as part of a diversified investment portfolio or as sole diversified investment providing access to the asset class. Investors buying the Fund need to have an understanding</w:t>
      </w:r>
      <w:r w:rsidRPr="004F776C">
        <w:rPr>
          <w:sz w:val="16"/>
          <w:szCs w:val="16"/>
        </w:rPr>
        <w:t xml:space="preserve"> about investing in </w:t>
      </w:r>
      <w:r>
        <w:rPr>
          <w:sz w:val="16"/>
          <w:szCs w:val="16"/>
        </w:rPr>
        <w:t>f</w:t>
      </w:r>
      <w:r w:rsidRPr="004F776C">
        <w:rPr>
          <w:sz w:val="16"/>
          <w:szCs w:val="16"/>
        </w:rPr>
        <w:t>unds and they also should be prepared</w:t>
      </w:r>
      <w:r>
        <w:rPr>
          <w:sz w:val="16"/>
          <w:szCs w:val="16"/>
        </w:rPr>
        <w:t xml:space="preserve"> </w:t>
      </w:r>
      <w:r w:rsidRPr="004F776C">
        <w:rPr>
          <w:sz w:val="16"/>
          <w:szCs w:val="16"/>
        </w:rPr>
        <w:t>to bear losses since the Fund is not guaranteed and they may receive back</w:t>
      </w:r>
      <w:r>
        <w:rPr>
          <w:sz w:val="16"/>
          <w:szCs w:val="16"/>
        </w:rPr>
        <w:t xml:space="preserve"> </w:t>
      </w:r>
      <w:r w:rsidRPr="004F776C">
        <w:rPr>
          <w:sz w:val="16"/>
          <w:szCs w:val="16"/>
        </w:rPr>
        <w:t>less than the amount originally invested.</w:t>
      </w:r>
      <w:r>
        <w:rPr>
          <w:sz w:val="16"/>
          <w:szCs w:val="16"/>
        </w:rPr>
        <w:t xml:space="preserve"> </w:t>
      </w:r>
      <w:r w:rsidRPr="004B7A7D">
        <w:rPr>
          <w:sz w:val="16"/>
          <w:szCs w:val="16"/>
        </w:rPr>
        <w:t xml:space="preserve">The Manufacturer may terminate the </w:t>
      </w:r>
      <w:r>
        <w:rPr>
          <w:sz w:val="16"/>
          <w:szCs w:val="16"/>
        </w:rPr>
        <w:t>p</w:t>
      </w:r>
      <w:r w:rsidRPr="004B7A7D">
        <w:rPr>
          <w:sz w:val="16"/>
          <w:szCs w:val="16"/>
        </w:rPr>
        <w:t>roduct early. The amount you will receive upon early termination may be less than the amount you invested.</w:t>
      </w:r>
    </w:p>
    <w:p w14:paraId="31171D11" w14:textId="77777777" w:rsidR="00363DC8" w:rsidRDefault="00363DC8" w:rsidP="00363DC8">
      <w:pPr>
        <w:tabs>
          <w:tab w:val="left" w:pos="4678"/>
        </w:tabs>
        <w:spacing w:after="0"/>
        <w:jc w:val="both"/>
        <w:rPr>
          <w:sz w:val="16"/>
          <w:szCs w:val="16"/>
        </w:rPr>
      </w:pPr>
    </w:p>
    <w:p w14:paraId="5EC2DF81" w14:textId="77777777" w:rsidR="00363DC8" w:rsidRPr="006255B3" w:rsidRDefault="00363DC8" w:rsidP="00363DC8">
      <w:pPr>
        <w:tabs>
          <w:tab w:val="left" w:pos="4678"/>
        </w:tabs>
        <w:spacing w:after="0"/>
        <w:jc w:val="both"/>
        <w:rPr>
          <w:b/>
          <w:bCs/>
          <w:sz w:val="16"/>
          <w:szCs w:val="16"/>
        </w:rPr>
      </w:pPr>
      <w:r w:rsidRPr="006255B3">
        <w:rPr>
          <w:b/>
          <w:bCs/>
          <w:sz w:val="16"/>
          <w:szCs w:val="16"/>
        </w:rPr>
        <w:t>Term of the Product</w:t>
      </w:r>
    </w:p>
    <w:p w14:paraId="750538E4" w14:textId="77777777" w:rsidR="00363DC8" w:rsidRDefault="00363DC8" w:rsidP="00363DC8">
      <w:pPr>
        <w:tabs>
          <w:tab w:val="left" w:pos="4678"/>
        </w:tabs>
        <w:spacing w:after="0"/>
        <w:jc w:val="both"/>
        <w:rPr>
          <w:sz w:val="16"/>
          <w:szCs w:val="16"/>
        </w:rPr>
      </w:pPr>
    </w:p>
    <w:p w14:paraId="7FAC7313" w14:textId="27C73889" w:rsidR="00C958FB" w:rsidRDefault="00C958FB" w:rsidP="00C958FB">
      <w:pPr>
        <w:tabs>
          <w:tab w:val="left" w:pos="4678"/>
        </w:tabs>
        <w:spacing w:after="0"/>
        <w:jc w:val="both"/>
        <w:rPr>
          <w:sz w:val="16"/>
          <w:szCs w:val="16"/>
        </w:rPr>
      </w:pPr>
      <w:r w:rsidRPr="004B7A7D">
        <w:rPr>
          <w:sz w:val="16"/>
          <w:szCs w:val="16"/>
        </w:rPr>
        <w:t xml:space="preserve">The </w:t>
      </w:r>
      <w:r>
        <w:rPr>
          <w:sz w:val="16"/>
          <w:szCs w:val="16"/>
        </w:rPr>
        <w:t>p</w:t>
      </w:r>
      <w:r w:rsidRPr="004B7A7D">
        <w:rPr>
          <w:sz w:val="16"/>
          <w:szCs w:val="16"/>
        </w:rPr>
        <w:t>roduct has been established for an indefinite period of time</w:t>
      </w:r>
      <w:r>
        <w:rPr>
          <w:sz w:val="16"/>
          <w:szCs w:val="16"/>
        </w:rPr>
        <w:t>.</w:t>
      </w:r>
      <w:r w:rsidRPr="005B4B16">
        <w:t xml:space="preserve"> </w:t>
      </w:r>
      <w:r w:rsidRPr="005B4B16">
        <w:rPr>
          <w:sz w:val="16"/>
          <w:szCs w:val="16"/>
        </w:rPr>
        <w:t>You can buy,</w:t>
      </w:r>
      <w:r>
        <w:rPr>
          <w:sz w:val="16"/>
          <w:szCs w:val="16"/>
        </w:rPr>
        <w:t xml:space="preserve"> </w:t>
      </w:r>
      <w:r w:rsidRPr="005B4B16">
        <w:rPr>
          <w:sz w:val="16"/>
          <w:szCs w:val="16"/>
        </w:rPr>
        <w:t xml:space="preserve">sell and switch shares in the Fund by providing instructions to </w:t>
      </w:r>
      <w:r>
        <w:rPr>
          <w:sz w:val="16"/>
          <w:szCs w:val="16"/>
        </w:rPr>
        <w:t xml:space="preserve">Apex </w:t>
      </w:r>
      <w:r w:rsidR="00695777">
        <w:rPr>
          <w:sz w:val="16"/>
          <w:szCs w:val="16"/>
        </w:rPr>
        <w:t>Fund Services</w:t>
      </w:r>
      <w:r>
        <w:rPr>
          <w:sz w:val="16"/>
          <w:szCs w:val="16"/>
        </w:rPr>
        <w:t xml:space="preserve"> (Malta) Limited within one</w:t>
      </w:r>
      <w:r w:rsidRPr="005B4B16">
        <w:rPr>
          <w:sz w:val="16"/>
          <w:szCs w:val="16"/>
        </w:rPr>
        <w:t xml:space="preserve"> business day</w:t>
      </w:r>
      <w:r>
        <w:rPr>
          <w:sz w:val="16"/>
          <w:szCs w:val="16"/>
        </w:rPr>
        <w:t>s</w:t>
      </w:r>
      <w:r w:rsidRPr="005B4B16">
        <w:rPr>
          <w:sz w:val="16"/>
          <w:szCs w:val="16"/>
        </w:rPr>
        <w:t xml:space="preserve"> before the </w:t>
      </w:r>
      <w:r>
        <w:rPr>
          <w:sz w:val="16"/>
          <w:szCs w:val="16"/>
        </w:rPr>
        <w:t>relevant valuation date</w:t>
      </w:r>
      <w:r w:rsidRPr="005B4B16">
        <w:rPr>
          <w:sz w:val="16"/>
          <w:szCs w:val="16"/>
        </w:rPr>
        <w:t xml:space="preserve"> as outlined in</w:t>
      </w:r>
      <w:r>
        <w:rPr>
          <w:sz w:val="16"/>
          <w:szCs w:val="16"/>
        </w:rPr>
        <w:t xml:space="preserve"> </w:t>
      </w:r>
      <w:r w:rsidRPr="005B4B16">
        <w:rPr>
          <w:sz w:val="16"/>
          <w:szCs w:val="16"/>
        </w:rPr>
        <w:t>the prospectus of the Fund. In terms of the Articles of Association of the</w:t>
      </w:r>
      <w:r>
        <w:rPr>
          <w:sz w:val="16"/>
          <w:szCs w:val="16"/>
        </w:rPr>
        <w:t xml:space="preserve"> </w:t>
      </w:r>
      <w:r w:rsidRPr="005B4B16">
        <w:rPr>
          <w:sz w:val="16"/>
          <w:szCs w:val="16"/>
        </w:rPr>
        <w:t>Company, there may be instances where the Directors may limit the</w:t>
      </w:r>
      <w:r>
        <w:rPr>
          <w:sz w:val="16"/>
          <w:szCs w:val="16"/>
        </w:rPr>
        <w:t xml:space="preserve"> </w:t>
      </w:r>
      <w:r w:rsidRPr="005B4B16">
        <w:rPr>
          <w:sz w:val="16"/>
          <w:szCs w:val="16"/>
        </w:rPr>
        <w:t>amount of redemptions that can be effected from the Fund on any Dealing</w:t>
      </w:r>
      <w:r>
        <w:rPr>
          <w:sz w:val="16"/>
          <w:szCs w:val="16"/>
        </w:rPr>
        <w:t xml:space="preserve"> </w:t>
      </w:r>
      <w:r w:rsidRPr="005B4B16">
        <w:rPr>
          <w:sz w:val="16"/>
          <w:szCs w:val="16"/>
        </w:rPr>
        <w:t>Day or suspend dealing in the Fund.</w:t>
      </w:r>
    </w:p>
    <w:p w14:paraId="004E2CDC" w14:textId="77777777" w:rsidR="00363DC8" w:rsidRDefault="00363DC8" w:rsidP="00363DC8">
      <w:pPr>
        <w:spacing w:after="0"/>
        <w:jc w:val="both"/>
        <w:rPr>
          <w:sz w:val="16"/>
          <w:szCs w:val="16"/>
        </w:rPr>
        <w:sectPr w:rsidR="00363DC8" w:rsidSect="00F27400">
          <w:type w:val="continuous"/>
          <w:pgSz w:w="12240" w:h="15840"/>
          <w:pgMar w:top="1440" w:right="1440" w:bottom="1440" w:left="1440" w:header="720" w:footer="720" w:gutter="0"/>
          <w:cols w:num="2" w:space="720"/>
          <w:docGrid w:linePitch="360"/>
        </w:sectPr>
      </w:pPr>
    </w:p>
    <w:p w14:paraId="521BA752" w14:textId="77777777" w:rsidR="00363DC8" w:rsidRDefault="00363DC8" w:rsidP="00363DC8">
      <w:pPr>
        <w:spacing w:after="0"/>
        <w:jc w:val="both"/>
        <w:rPr>
          <w:sz w:val="16"/>
          <w:szCs w:val="16"/>
        </w:rPr>
      </w:pPr>
    </w:p>
    <w:p w14:paraId="09EEE5DC" w14:textId="77777777" w:rsidR="00363DC8" w:rsidRDefault="00363DC8" w:rsidP="00363DC8">
      <w:pPr>
        <w:spacing w:after="0"/>
        <w:jc w:val="both"/>
        <w:rPr>
          <w:sz w:val="16"/>
          <w:szCs w:val="16"/>
        </w:rPr>
      </w:pPr>
      <w:r w:rsidRPr="004B7A7D">
        <w:rPr>
          <w:sz w:val="16"/>
          <w:szCs w:val="16"/>
        </w:rPr>
        <w:lastRenderedPageBreak/>
        <w:t>WHAT ARE THE RISKS AND WHAT COULD I GET IN RETURN?</w:t>
      </w:r>
    </w:p>
    <w:p w14:paraId="2CF4EE75" w14:textId="77777777" w:rsidR="00363DC8" w:rsidRDefault="00363DC8" w:rsidP="00363DC8">
      <w:pPr>
        <w:spacing w:after="0"/>
        <w:jc w:val="both"/>
        <w:rPr>
          <w:sz w:val="16"/>
          <w:szCs w:val="16"/>
        </w:rPr>
      </w:pPr>
      <w:r w:rsidRPr="004B7A7D">
        <w:rPr>
          <w:noProof/>
          <w:sz w:val="16"/>
          <w:szCs w:val="16"/>
        </w:rPr>
        <mc:AlternateContent>
          <mc:Choice Requires="wps">
            <w:drawing>
              <wp:inline distT="0" distB="0" distL="0" distR="0" wp14:anchorId="2C33986D" wp14:editId="526B6530">
                <wp:extent cx="5943600" cy="20320"/>
                <wp:effectExtent l="0" t="0" r="19050" b="36830"/>
                <wp:docPr id="16" name="Straight Connector 16"/>
                <wp:cNvGraphicFramePr/>
                <a:graphic xmlns:a="http://schemas.openxmlformats.org/drawingml/2006/main">
                  <a:graphicData uri="http://schemas.microsoft.com/office/word/2010/wordprocessingShape">
                    <wps:wsp>
                      <wps:cNvCnPr/>
                      <wps:spPr>
                        <a:xfrm>
                          <a:off x="0" y="0"/>
                          <a:ext cx="5943600" cy="20320"/>
                        </a:xfrm>
                        <a:prstGeom prst="line">
                          <a:avLst/>
                        </a:prstGeom>
                        <a:noFill/>
                        <a:ln w="12700" cap="flat" cmpd="sng" algn="ctr">
                          <a:solidFill>
                            <a:sysClr val="window" lastClr="FFFFFF">
                              <a:lumMod val="65000"/>
                            </a:sysClr>
                          </a:solidFill>
                          <a:prstDash val="solid"/>
                          <a:miter lim="800000"/>
                        </a:ln>
                        <a:effectLst/>
                      </wps:spPr>
                      <wps:bodyPr/>
                    </wps:wsp>
                  </a:graphicData>
                </a:graphic>
              </wp:inline>
            </w:drawing>
          </mc:Choice>
          <mc:Fallback>
            <w:pict>
              <v:line w14:anchorId="5254A095" id="Straight Connector 16"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8BxQEAAHsDAAAOAAAAZHJzL2Uyb0RvYy54bWysU8tu2zAQvBfoPxC811KUxk0FyznEcC99&#10;BEj7ARs+JAJ8gctY9t93SblO2t6K+kCTu9zZ2eFoc3d0lh1UQhP8wK9WLWfKiyCNHwf+4/v+3S1n&#10;mMFLsMGrgZ8U8rvt2zebOfaqC1OwUiVGIB77OQ58yjn2TYNiUg5wFaLylNQhOch0TGMjE8yE7mzT&#10;te26mUOSMQWhECm6W5J8W/G1ViJ/0xpVZnbgxC3XNdX1qazNdgP9mCBORpxpwD+wcGA8Nb1A7SAD&#10;e07mLyhnRAoYdF6J4JqgtRGqzkDTXLV/TPM4QVR1FhIH40Um/H+w4uvh3j8kkmGO2GN8SGWKo06u&#10;/BM/dqxinS5iqWNmgoI3H99fr1vSVFCua6+7KmbzUhwT5k8qOFY2A7fGl1mgh8NnzNSQrv66UsI+&#10;7I219T2sZzOZqftQ4YFsoS1k6uSiHDj6kTOwI/lN5FQhMVgjS3kBwhPe28QOQE9OTpFh5swCZgoO&#10;fF9/tcg+uy9BLvfWNy31Wkgt9ZXfb7iF7A5wWipqarGPM5k8bI0b+C3BXICsL3RUdeF55BeRy+4p&#10;yFPVvikneuHa9OzGYqHXZ9q//ma2PwEAAP//AwBQSwMEFAAGAAgAAAAhADHV8FPbAAAAAwEAAA8A&#10;AABkcnMvZG93bnJldi54bWxMj0FLw0AQhe+C/2EZwZvd2GKwMZtSA3oQLBgVPW6zYxLdnQ272zb9&#10;945e9PLg8Yb3vilXk7NijyEOnhRczjIQSK03A3UKXp7vLq5BxKTJaOsJFRwxwqo6PSl1YfyBnnDf&#10;pE5wCcVCK+hTGgspY9uj03HmRyTOPnxwOrENnTRBH7jcWTnPslw6PRAv9HrEusf2q9k5Bc2r2zx+&#10;2mWeXb2v6/u32zpsHo5KnZ9N6xsQCaf0dww/+IwOFTNt/Y5MFFYBP5J+lbPlIme7VbCYg6xK+Z+9&#10;+gYAAP//AwBQSwECLQAUAAYACAAAACEAtoM4kv4AAADhAQAAEwAAAAAAAAAAAAAAAAAAAAAAW0Nv&#10;bnRlbnRfVHlwZXNdLnhtbFBLAQItABQABgAIAAAAIQA4/SH/1gAAAJQBAAALAAAAAAAAAAAAAAAA&#10;AC8BAABfcmVscy8ucmVsc1BLAQItABQABgAIAAAAIQBtQM8BxQEAAHsDAAAOAAAAAAAAAAAAAAAA&#10;AC4CAABkcnMvZTJvRG9jLnhtbFBLAQItABQABgAIAAAAIQAx1fBT2wAAAAMBAAAPAAAAAAAAAAAA&#10;AAAAAB8EAABkcnMvZG93bnJldi54bWxQSwUGAAAAAAQABADzAAAAJwUAAAAA&#10;" strokecolor="#a6a6a6" strokeweight="1pt">
                <v:stroke joinstyle="miter"/>
                <w10:anchorlock/>
              </v:line>
            </w:pict>
          </mc:Fallback>
        </mc:AlternateContent>
      </w:r>
    </w:p>
    <w:p w14:paraId="4B6CC78F" w14:textId="77777777" w:rsidR="00363DC8" w:rsidRDefault="00363DC8" w:rsidP="00363DC8">
      <w:pPr>
        <w:spacing w:after="0"/>
        <w:jc w:val="both"/>
        <w:rPr>
          <w:sz w:val="16"/>
          <w:szCs w:val="16"/>
        </w:rPr>
      </w:pPr>
    </w:p>
    <w:p w14:paraId="2730969D" w14:textId="77777777" w:rsidR="00363DC8" w:rsidRDefault="00363DC8" w:rsidP="00363DC8">
      <w:pPr>
        <w:spacing w:after="0"/>
        <w:jc w:val="both"/>
        <w:rPr>
          <w:b/>
          <w:bCs/>
          <w:sz w:val="16"/>
          <w:szCs w:val="16"/>
        </w:rPr>
      </w:pPr>
    </w:p>
    <w:p w14:paraId="0E0EBA76" w14:textId="77777777" w:rsidR="00363DC8" w:rsidRDefault="00363DC8" w:rsidP="00363DC8">
      <w:pPr>
        <w:spacing w:after="0"/>
        <w:jc w:val="both"/>
        <w:rPr>
          <w:b/>
          <w:bCs/>
          <w:sz w:val="16"/>
          <w:szCs w:val="16"/>
        </w:rPr>
      </w:pPr>
    </w:p>
    <w:tbl>
      <w:tblPr>
        <w:tblpPr w:leftFromText="180" w:rightFromText="180" w:vertAnchor="text" w:tblpY="-423"/>
        <w:tblW w:w="7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307"/>
        <w:gridCol w:w="829"/>
        <w:gridCol w:w="309"/>
        <w:gridCol w:w="826"/>
        <w:gridCol w:w="355"/>
        <w:gridCol w:w="780"/>
        <w:gridCol w:w="359"/>
        <w:gridCol w:w="774"/>
        <w:gridCol w:w="352"/>
        <w:gridCol w:w="784"/>
        <w:gridCol w:w="352"/>
        <w:gridCol w:w="783"/>
      </w:tblGrid>
      <w:tr w:rsidR="00363DC8" w:rsidRPr="000F562F" w14:paraId="738DE0B1" w14:textId="77777777" w:rsidTr="00F103CE">
        <w:trPr>
          <w:trHeight w:val="79"/>
        </w:trPr>
        <w:tc>
          <w:tcPr>
            <w:tcW w:w="547" w:type="pct"/>
            <w:tcBorders>
              <w:top w:val="single" w:sz="8" w:space="0" w:color="auto"/>
              <w:left w:val="single" w:sz="8" w:space="0" w:color="auto"/>
              <w:bottom w:val="single" w:sz="8" w:space="0" w:color="auto"/>
              <w:right w:val="single" w:sz="8" w:space="0" w:color="auto"/>
            </w:tcBorders>
            <w:shd w:val="clear" w:color="auto" w:fill="auto"/>
            <w:vAlign w:val="center"/>
          </w:tcPr>
          <w:p w14:paraId="661407E6" w14:textId="77777777" w:rsidR="00363DC8" w:rsidRPr="00D244A9" w:rsidRDefault="00363DC8" w:rsidP="0003274B">
            <w:pPr>
              <w:spacing w:after="0"/>
              <w:jc w:val="center"/>
              <w:rPr>
                <w:rFonts w:cstheme="minorHAnsi"/>
                <w:b/>
                <w:lang w:val="en-GB"/>
              </w:rPr>
            </w:pPr>
            <w:r w:rsidRPr="00D244A9">
              <w:rPr>
                <w:rFonts w:cstheme="minorHAnsi"/>
                <w:b/>
                <w:lang w:val="en-GB"/>
              </w:rPr>
              <w:t>1</w:t>
            </w:r>
          </w:p>
        </w:tc>
        <w:tc>
          <w:tcPr>
            <w:tcW w:w="201" w:type="pct"/>
            <w:tcBorders>
              <w:top w:val="nil"/>
              <w:left w:val="single" w:sz="8" w:space="0" w:color="auto"/>
              <w:bottom w:val="nil"/>
              <w:right w:val="single" w:sz="8" w:space="0" w:color="auto"/>
            </w:tcBorders>
            <w:shd w:val="clear" w:color="auto" w:fill="auto"/>
            <w:vAlign w:val="center"/>
          </w:tcPr>
          <w:p w14:paraId="297FE3E3" w14:textId="77777777" w:rsidR="00363DC8" w:rsidRPr="00D244A9" w:rsidRDefault="00363DC8" w:rsidP="0003274B">
            <w:pPr>
              <w:spacing w:after="0"/>
              <w:jc w:val="center"/>
              <w:rPr>
                <w:rFonts w:cstheme="minorHAnsi"/>
                <w:b/>
                <w:lang w:val="en-GB"/>
              </w:rPr>
            </w:pPr>
          </w:p>
        </w:tc>
        <w:tc>
          <w:tcPr>
            <w:tcW w:w="542" w:type="pct"/>
            <w:tcBorders>
              <w:top w:val="single" w:sz="8" w:space="0" w:color="auto"/>
              <w:left w:val="single" w:sz="8" w:space="0" w:color="auto"/>
              <w:bottom w:val="single" w:sz="8" w:space="0" w:color="auto"/>
              <w:right w:val="single" w:sz="8" w:space="0" w:color="auto"/>
            </w:tcBorders>
            <w:shd w:val="clear" w:color="auto" w:fill="002060"/>
            <w:vAlign w:val="center"/>
          </w:tcPr>
          <w:p w14:paraId="2A56536F" w14:textId="77777777" w:rsidR="00363DC8" w:rsidRPr="00D244A9" w:rsidRDefault="00363DC8" w:rsidP="0003274B">
            <w:pPr>
              <w:spacing w:after="0"/>
              <w:jc w:val="center"/>
              <w:rPr>
                <w:rFonts w:cstheme="minorHAnsi"/>
                <w:b/>
                <w:lang w:val="en-GB"/>
              </w:rPr>
            </w:pPr>
            <w:r w:rsidRPr="00D244A9">
              <w:rPr>
                <w:rFonts w:cstheme="minorHAnsi"/>
                <w:b/>
                <w:lang w:val="en-GB"/>
              </w:rPr>
              <w:t>2</w:t>
            </w:r>
          </w:p>
        </w:tc>
        <w:tc>
          <w:tcPr>
            <w:tcW w:w="202" w:type="pct"/>
            <w:tcBorders>
              <w:top w:val="nil"/>
              <w:left w:val="single" w:sz="8" w:space="0" w:color="auto"/>
              <w:bottom w:val="nil"/>
              <w:right w:val="single" w:sz="8" w:space="0" w:color="auto"/>
            </w:tcBorders>
            <w:shd w:val="clear" w:color="auto" w:fill="auto"/>
            <w:vAlign w:val="center"/>
          </w:tcPr>
          <w:p w14:paraId="4CCB863E" w14:textId="77777777" w:rsidR="00363DC8" w:rsidRPr="00D244A9" w:rsidRDefault="00363DC8" w:rsidP="0003274B">
            <w:pPr>
              <w:spacing w:after="0"/>
              <w:jc w:val="center"/>
              <w:rPr>
                <w:rFonts w:cstheme="minorHAnsi"/>
                <w:b/>
                <w:lang w:val="en-GB"/>
              </w:rPr>
            </w:pPr>
          </w:p>
        </w:tc>
        <w:tc>
          <w:tcPr>
            <w:tcW w:w="540" w:type="pct"/>
            <w:tcBorders>
              <w:top w:val="single" w:sz="8" w:space="0" w:color="auto"/>
              <w:left w:val="single" w:sz="8" w:space="0" w:color="auto"/>
              <w:bottom w:val="single" w:sz="8" w:space="0" w:color="auto"/>
              <w:right w:val="single" w:sz="8" w:space="0" w:color="auto"/>
            </w:tcBorders>
            <w:shd w:val="clear" w:color="auto" w:fill="auto"/>
            <w:vAlign w:val="center"/>
          </w:tcPr>
          <w:p w14:paraId="36E9C5DA" w14:textId="77777777" w:rsidR="00363DC8" w:rsidRPr="00D244A9" w:rsidRDefault="00363DC8" w:rsidP="0003274B">
            <w:pPr>
              <w:spacing w:after="0"/>
              <w:jc w:val="center"/>
              <w:rPr>
                <w:rFonts w:cstheme="minorHAnsi"/>
                <w:b/>
                <w:lang w:val="en-GB"/>
              </w:rPr>
            </w:pPr>
            <w:r w:rsidRPr="00D244A9">
              <w:rPr>
                <w:rFonts w:cstheme="minorHAnsi"/>
                <w:b/>
                <w:lang w:val="en-GB"/>
              </w:rPr>
              <w:t>3</w:t>
            </w:r>
          </w:p>
        </w:tc>
        <w:tc>
          <w:tcPr>
            <w:tcW w:w="232" w:type="pct"/>
            <w:tcBorders>
              <w:top w:val="nil"/>
              <w:left w:val="single" w:sz="8" w:space="0" w:color="auto"/>
              <w:bottom w:val="nil"/>
              <w:right w:val="single" w:sz="8" w:space="0" w:color="auto"/>
            </w:tcBorders>
            <w:shd w:val="clear" w:color="auto" w:fill="auto"/>
            <w:vAlign w:val="center"/>
          </w:tcPr>
          <w:p w14:paraId="4158010E" w14:textId="77777777" w:rsidR="00363DC8" w:rsidRPr="00D244A9" w:rsidRDefault="00363DC8" w:rsidP="0003274B">
            <w:pPr>
              <w:spacing w:after="0"/>
              <w:jc w:val="center"/>
              <w:rPr>
                <w:rFonts w:cstheme="minorHAnsi"/>
                <w:b/>
                <w:lang w:val="en-GB"/>
              </w:rPr>
            </w:pPr>
          </w:p>
        </w:tc>
        <w:tc>
          <w:tcPr>
            <w:tcW w:w="510" w:type="pct"/>
            <w:tcBorders>
              <w:top w:val="single" w:sz="8" w:space="0" w:color="auto"/>
              <w:left w:val="single" w:sz="8" w:space="0" w:color="auto"/>
              <w:bottom w:val="single" w:sz="8" w:space="0" w:color="auto"/>
              <w:right w:val="single" w:sz="8" w:space="0" w:color="auto"/>
            </w:tcBorders>
            <w:shd w:val="clear" w:color="auto" w:fill="auto"/>
            <w:vAlign w:val="center"/>
          </w:tcPr>
          <w:p w14:paraId="682D4D27" w14:textId="77777777" w:rsidR="00363DC8" w:rsidRPr="00D244A9" w:rsidRDefault="00363DC8" w:rsidP="0003274B">
            <w:pPr>
              <w:spacing w:after="0"/>
              <w:jc w:val="center"/>
              <w:rPr>
                <w:rFonts w:cstheme="minorHAnsi"/>
                <w:b/>
                <w:lang w:val="en-GB"/>
              </w:rPr>
            </w:pPr>
            <w:r w:rsidRPr="00D244A9">
              <w:rPr>
                <w:rFonts w:cstheme="minorHAnsi"/>
                <w:b/>
                <w:lang w:val="en-GB"/>
              </w:rPr>
              <w:t>4</w:t>
            </w:r>
          </w:p>
        </w:tc>
        <w:tc>
          <w:tcPr>
            <w:tcW w:w="235" w:type="pct"/>
            <w:tcBorders>
              <w:top w:val="nil"/>
              <w:left w:val="single" w:sz="8" w:space="0" w:color="auto"/>
              <w:bottom w:val="nil"/>
              <w:right w:val="single" w:sz="8" w:space="0" w:color="auto"/>
            </w:tcBorders>
            <w:shd w:val="clear" w:color="auto" w:fill="auto"/>
            <w:vAlign w:val="center"/>
          </w:tcPr>
          <w:p w14:paraId="2CF5AD8E" w14:textId="77777777" w:rsidR="00363DC8" w:rsidRPr="00D244A9" w:rsidRDefault="00363DC8" w:rsidP="0003274B">
            <w:pPr>
              <w:spacing w:after="0"/>
              <w:jc w:val="center"/>
              <w:rPr>
                <w:rFonts w:cstheme="minorHAnsi"/>
                <w:b/>
                <w:lang w:val="en-GB"/>
              </w:rPr>
            </w:pPr>
          </w:p>
        </w:tc>
        <w:tc>
          <w:tcPr>
            <w:tcW w:w="506" w:type="pct"/>
            <w:tcBorders>
              <w:top w:val="single" w:sz="8" w:space="0" w:color="auto"/>
              <w:left w:val="single" w:sz="8" w:space="0" w:color="auto"/>
              <w:bottom w:val="single" w:sz="8" w:space="0" w:color="auto"/>
              <w:right w:val="single" w:sz="8" w:space="0" w:color="auto"/>
            </w:tcBorders>
            <w:shd w:val="clear" w:color="auto" w:fill="auto"/>
            <w:vAlign w:val="center"/>
          </w:tcPr>
          <w:p w14:paraId="680FF900" w14:textId="77777777" w:rsidR="00363DC8" w:rsidRPr="00D244A9" w:rsidRDefault="00363DC8" w:rsidP="0003274B">
            <w:pPr>
              <w:spacing w:after="0"/>
              <w:jc w:val="center"/>
              <w:rPr>
                <w:rFonts w:cstheme="minorHAnsi"/>
                <w:b/>
                <w:lang w:val="en-GB"/>
              </w:rPr>
            </w:pPr>
            <w:r w:rsidRPr="00D244A9">
              <w:rPr>
                <w:rFonts w:cstheme="minorHAnsi"/>
                <w:b/>
                <w:lang w:val="en-GB"/>
              </w:rPr>
              <w:t>5</w:t>
            </w:r>
          </w:p>
        </w:tc>
        <w:tc>
          <w:tcPr>
            <w:tcW w:w="230" w:type="pct"/>
            <w:tcBorders>
              <w:top w:val="nil"/>
              <w:left w:val="single" w:sz="8" w:space="0" w:color="auto"/>
              <w:bottom w:val="nil"/>
              <w:right w:val="single" w:sz="8" w:space="0" w:color="auto"/>
            </w:tcBorders>
            <w:shd w:val="clear" w:color="auto" w:fill="auto"/>
            <w:vAlign w:val="center"/>
          </w:tcPr>
          <w:p w14:paraId="47D05BBA" w14:textId="77777777" w:rsidR="00363DC8" w:rsidRPr="00D244A9" w:rsidRDefault="00363DC8" w:rsidP="0003274B">
            <w:pPr>
              <w:spacing w:after="0"/>
              <w:jc w:val="center"/>
              <w:rPr>
                <w:rFonts w:cstheme="minorHAnsi"/>
                <w:b/>
                <w:lang w:val="en-GB"/>
              </w:rPr>
            </w:pP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tcPr>
          <w:p w14:paraId="1F5BC989" w14:textId="77777777" w:rsidR="00363DC8" w:rsidRPr="00D244A9" w:rsidRDefault="00363DC8" w:rsidP="0003274B">
            <w:pPr>
              <w:spacing w:after="0"/>
              <w:jc w:val="center"/>
              <w:rPr>
                <w:rFonts w:cstheme="minorHAnsi"/>
                <w:b/>
                <w:lang w:val="en-GB"/>
              </w:rPr>
            </w:pPr>
            <w:r w:rsidRPr="00D244A9">
              <w:rPr>
                <w:rFonts w:cstheme="minorHAnsi"/>
                <w:b/>
                <w:lang w:val="en-GB"/>
              </w:rPr>
              <w:t>6</w:t>
            </w:r>
          </w:p>
        </w:tc>
        <w:tc>
          <w:tcPr>
            <w:tcW w:w="230" w:type="pct"/>
            <w:tcBorders>
              <w:top w:val="nil"/>
              <w:left w:val="single" w:sz="8" w:space="0" w:color="auto"/>
              <w:bottom w:val="nil"/>
              <w:right w:val="single" w:sz="8" w:space="0" w:color="auto"/>
            </w:tcBorders>
            <w:shd w:val="clear" w:color="auto" w:fill="auto"/>
            <w:vAlign w:val="center"/>
          </w:tcPr>
          <w:p w14:paraId="1F4F53E1" w14:textId="77777777" w:rsidR="00363DC8" w:rsidRPr="00D244A9" w:rsidRDefault="00363DC8" w:rsidP="0003274B">
            <w:pPr>
              <w:spacing w:after="0"/>
              <w:jc w:val="center"/>
              <w:rPr>
                <w:rFonts w:cstheme="minorHAnsi"/>
                <w:b/>
                <w:lang w:val="en-GB"/>
              </w:rPr>
            </w:pP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tcPr>
          <w:p w14:paraId="4151A0AD" w14:textId="77777777" w:rsidR="00363DC8" w:rsidRPr="00D244A9" w:rsidRDefault="00363DC8" w:rsidP="0003274B">
            <w:pPr>
              <w:spacing w:after="0"/>
              <w:jc w:val="center"/>
              <w:rPr>
                <w:rFonts w:cstheme="minorHAnsi"/>
                <w:b/>
                <w:lang w:val="en-GB"/>
              </w:rPr>
            </w:pPr>
            <w:r w:rsidRPr="00D244A9">
              <w:rPr>
                <w:rFonts w:cstheme="minorHAnsi"/>
                <w:b/>
                <w:lang w:val="en-GB"/>
              </w:rPr>
              <w:t>7</w:t>
            </w:r>
          </w:p>
        </w:tc>
      </w:tr>
    </w:tbl>
    <w:p w14:paraId="24F1C9F5" w14:textId="77777777" w:rsidR="00363DC8" w:rsidRDefault="00363DC8" w:rsidP="00363DC8">
      <w:pPr>
        <w:spacing w:after="0"/>
        <w:jc w:val="both"/>
        <w:rPr>
          <w:sz w:val="16"/>
          <w:szCs w:val="16"/>
        </w:rPr>
      </w:pPr>
      <w:r>
        <w:rPr>
          <w:noProof/>
          <w:sz w:val="16"/>
          <w:szCs w:val="16"/>
        </w:rPr>
        <mc:AlternateContent>
          <mc:Choice Requires="wps">
            <w:drawing>
              <wp:anchor distT="0" distB="0" distL="114300" distR="114300" simplePos="0" relativeHeight="251660288" behindDoc="0" locked="0" layoutInCell="1" allowOverlap="1" wp14:anchorId="7D15C93C" wp14:editId="47D60B17">
                <wp:simplePos x="0" y="0"/>
                <wp:positionH relativeFrom="column">
                  <wp:posOffset>0</wp:posOffset>
                </wp:positionH>
                <wp:positionV relativeFrom="paragraph">
                  <wp:posOffset>93980</wp:posOffset>
                </wp:positionV>
                <wp:extent cx="4870450" cy="19050"/>
                <wp:effectExtent l="19050" t="76200" r="101600" b="95250"/>
                <wp:wrapNone/>
                <wp:docPr id="15" name="Straight Arrow Connector 15"/>
                <wp:cNvGraphicFramePr/>
                <a:graphic xmlns:a="http://schemas.openxmlformats.org/drawingml/2006/main">
                  <a:graphicData uri="http://schemas.microsoft.com/office/word/2010/wordprocessingShape">
                    <wps:wsp>
                      <wps:cNvCnPr/>
                      <wps:spPr>
                        <a:xfrm>
                          <a:off x="0" y="0"/>
                          <a:ext cx="4870450" cy="190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BA9A949" id="_x0000_t32" coordsize="21600,21600" o:spt="32" o:oned="t" path="m,l21600,21600e" filled="f">
                <v:path arrowok="t" fillok="f" o:connecttype="none"/>
                <o:lock v:ext="edit" shapetype="t"/>
              </v:shapetype>
              <v:shape id="Straight Arrow Connector 15" o:spid="_x0000_s1026" type="#_x0000_t32" style="position:absolute;margin-left:0;margin-top:7.4pt;width:383.5pt;height: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RlxQEAAOsDAAAOAAAAZHJzL2Uyb0RvYy54bWysU9tu1DAQfUfiHyy/s0mqAiXabB+2wAuC&#10;issHuM44seSb7GGT/XvGzm4WQYVE1ZeJ7fE5M+d4sr2drWEHiEl71/FmU3MGTvpeu6HjP75/eHXD&#10;WULhemG8g44fIfHb3csX2ym0cOVHb3qIjEhcaqfQ8RExtFWV5AhWpI0P4CipfLQCaRuHqo9iInZr&#10;qqu6flNNPvYhegkp0endkuS7wq8USPyiVAJkpuPUG5YYS3zIsdptRTtEEUYtT22IJ3RhhXZUdKW6&#10;EyjYz6j/orJaRp+8wo30tvJKaQlFA6lp6j/UfBtFgKKFzElhtSk9H638fNi7+0g2TCG1KdzHrGJW&#10;0eYv9cfmYtZxNQtmZJIOr2/e1tevyVNJueZdTUtiqS7gEBN+BG9ZXnQ8YRR6GHHvnaNn8bEphonD&#10;p4QL8AzIlY3LcQTRv3c9w2Og2cGohRsMLI+GQpvHc9RDhlcXRWWFRwML9VdQTPekYWmhDBvsTWQH&#10;QWMipASHzUmNcXQ7w5Q2ZgXWpfd/Ak/3MxTKIP4PeEWUyt7hCrba+fhYdZzPLavl/tmBRXe24MH3&#10;x/LWxRqaqPJep+nPI/v7vsAv/+juFwAAAP//AwBQSwMEFAAGAAgAAAAhAFQog63ZAAAABgEAAA8A&#10;AABkcnMvZG93bnJldi54bWxMj01PwzAMhu9I/IfISNxYMoTWrTSdEBLshsQ2iWvaeG21xqmS9IN/&#10;jznB0c9rvX5c7BfXiwlD7DxpWK8UCKTa244aDefT28MWREyGrOk9oYZvjLAvb28Kk1s/0ydOx9QI&#10;LqGYGw1tSkMuZaxbdCau/IDE2cUHZxKPoZE2mJnLXS8fldpIZzriC60Z8LXF+nocnQb6WtSpGdTl&#10;Y54OVdi9pzEedlrf3y0vzyASLulvGX71WR1Kdqr8SDaKXgM/kpg+sT+n2SZjUDHItiDLQv7XL38A&#10;AAD//wMAUEsBAi0AFAAGAAgAAAAhALaDOJL+AAAA4QEAABMAAAAAAAAAAAAAAAAAAAAAAFtDb250&#10;ZW50X1R5cGVzXS54bWxQSwECLQAUAAYACAAAACEAOP0h/9YAAACUAQAACwAAAAAAAAAAAAAAAAAv&#10;AQAAX3JlbHMvLnJlbHNQSwECLQAUAAYACAAAACEA2HO0ZcUBAADrAwAADgAAAAAAAAAAAAAAAAAu&#10;AgAAZHJzL2Uyb0RvYy54bWxQSwECLQAUAAYACAAAACEAVCiDrdkAAAAGAQAADwAAAAAAAAAAAAAA&#10;AAAfBAAAZHJzL2Rvd25yZXYueG1sUEsFBgAAAAAEAAQA8wAAACUFAAAAAA==&#10;" strokecolor="#4472c4 [3204]" strokeweight=".5pt">
                <v:stroke startarrow="block" endarrow="block" joinstyle="miter"/>
              </v:shape>
            </w:pict>
          </mc:Fallback>
        </mc:AlternateContent>
      </w:r>
    </w:p>
    <w:p w14:paraId="6ADD85F5" w14:textId="77777777" w:rsidR="00363DC8" w:rsidRDefault="00363DC8" w:rsidP="00363DC8">
      <w:pPr>
        <w:spacing w:after="0"/>
        <w:jc w:val="both"/>
        <w:rPr>
          <w:b/>
          <w:bCs/>
          <w:sz w:val="16"/>
          <w:szCs w:val="16"/>
        </w:rPr>
      </w:pPr>
      <w:r>
        <w:rPr>
          <w:b/>
          <w:bCs/>
          <w:sz w:val="16"/>
          <w:szCs w:val="16"/>
        </w:rPr>
        <w:t>Lower Risk</w:t>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 xml:space="preserve">            Higher Risk</w:t>
      </w:r>
    </w:p>
    <w:p w14:paraId="4F68EC8F" w14:textId="77777777" w:rsidR="00363DC8" w:rsidRDefault="00363DC8" w:rsidP="00363DC8">
      <w:pPr>
        <w:spacing w:after="0"/>
        <w:jc w:val="both"/>
        <w:rPr>
          <w:b/>
          <w:bCs/>
          <w:sz w:val="16"/>
          <w:szCs w:val="16"/>
        </w:rPr>
      </w:pPr>
    </w:p>
    <w:p w14:paraId="0747FACD" w14:textId="77777777" w:rsidR="00363DC8" w:rsidRDefault="00363DC8" w:rsidP="00363DC8">
      <w:pPr>
        <w:spacing w:after="0"/>
        <w:jc w:val="both"/>
        <w:rPr>
          <w:sz w:val="16"/>
          <w:szCs w:val="16"/>
        </w:rPr>
      </w:pPr>
      <w:r w:rsidRPr="00FC022F">
        <w:rPr>
          <w:b/>
          <w:bCs/>
          <w:sz w:val="16"/>
          <w:szCs w:val="16"/>
        </w:rPr>
        <w:t>Risk Indicator</w:t>
      </w:r>
    </w:p>
    <w:p w14:paraId="6F6D3D92" w14:textId="4DC0DF84" w:rsidR="00363DC8" w:rsidRPr="004B7A7D" w:rsidRDefault="00363DC8" w:rsidP="00363DC8">
      <w:pPr>
        <w:spacing w:after="0"/>
        <w:jc w:val="both"/>
        <w:rPr>
          <w:sz w:val="16"/>
          <w:szCs w:val="16"/>
        </w:rPr>
      </w:pPr>
      <w:r w:rsidRPr="008B0195">
        <w:rPr>
          <w:noProof/>
        </w:rPr>
        <w:drawing>
          <wp:anchor distT="0" distB="0" distL="114300" distR="114300" simplePos="0" relativeHeight="251659264" behindDoc="0" locked="0" layoutInCell="1" allowOverlap="1" wp14:anchorId="79745AC7" wp14:editId="7FCB73EF">
            <wp:simplePos x="0" y="0"/>
            <wp:positionH relativeFrom="margin">
              <wp:align>left</wp:align>
            </wp:positionH>
            <wp:positionV relativeFrom="paragraph">
              <wp:posOffset>3291</wp:posOffset>
            </wp:positionV>
            <wp:extent cx="437515" cy="454025"/>
            <wp:effectExtent l="0" t="0" r="635"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7515" cy="45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7A7D">
        <w:rPr>
          <w:sz w:val="16"/>
          <w:szCs w:val="16"/>
        </w:rPr>
        <w:t xml:space="preserve">The risk indicator assumes you keep the product for </w:t>
      </w:r>
      <w:r w:rsidR="00885DBF">
        <w:rPr>
          <w:sz w:val="16"/>
          <w:szCs w:val="16"/>
        </w:rPr>
        <w:t>5</w:t>
      </w:r>
      <w:r w:rsidRPr="004B7A7D">
        <w:rPr>
          <w:sz w:val="16"/>
          <w:szCs w:val="16"/>
        </w:rPr>
        <w:t xml:space="preserve"> years. The actual risk can vary significantly if you cash it at an early stage and you may get back less. </w:t>
      </w:r>
      <w:r w:rsidRPr="007A7221">
        <w:rPr>
          <w:sz w:val="16"/>
          <w:szCs w:val="16"/>
        </w:rPr>
        <w:t>You may not be able to sell your product easily or you may have to sell at a price that significantly impacts on how much you get back.</w:t>
      </w:r>
    </w:p>
    <w:p w14:paraId="4CE00598" w14:textId="77777777" w:rsidR="00363DC8" w:rsidRDefault="00363DC8" w:rsidP="00363DC8">
      <w:pPr>
        <w:spacing w:after="0"/>
        <w:jc w:val="both"/>
        <w:rPr>
          <w:sz w:val="16"/>
          <w:szCs w:val="16"/>
        </w:rPr>
        <w:sectPr w:rsidR="00363DC8"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3B2B8A8A" wp14:editId="106EAD92">
                <wp:extent cx="5943600" cy="20320"/>
                <wp:effectExtent l="0" t="0" r="19050" b="36830"/>
                <wp:docPr id="11" name="Straight Connector 11"/>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CA204BC"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4943864A" w14:textId="77777777" w:rsidR="00363DC8" w:rsidRDefault="00363DC8" w:rsidP="00363DC8">
      <w:pPr>
        <w:spacing w:after="0"/>
        <w:jc w:val="both"/>
        <w:rPr>
          <w:sz w:val="16"/>
          <w:szCs w:val="16"/>
        </w:rPr>
      </w:pPr>
      <w:r w:rsidRPr="004B7A7D">
        <w:rPr>
          <w:sz w:val="16"/>
          <w:szCs w:val="16"/>
        </w:rPr>
        <w:t xml:space="preserve">The Summary Risk Indicator (SRI) is a guide to the level of risk of this product compared to other products. It is derived from past returns and may indicate how likely it is that the product will lose money as a result of future (unknown) market conditions. </w:t>
      </w:r>
    </w:p>
    <w:p w14:paraId="3E839834" w14:textId="77777777" w:rsidR="00363DC8" w:rsidRDefault="00363DC8" w:rsidP="00363DC8">
      <w:pPr>
        <w:spacing w:after="0"/>
        <w:jc w:val="both"/>
        <w:rPr>
          <w:sz w:val="16"/>
          <w:szCs w:val="16"/>
        </w:rPr>
      </w:pPr>
    </w:p>
    <w:p w14:paraId="11444AB2" w14:textId="77777777" w:rsidR="00C958FB" w:rsidRDefault="00C958FB" w:rsidP="00C958FB">
      <w:pPr>
        <w:spacing w:after="0"/>
        <w:jc w:val="both"/>
        <w:rPr>
          <w:sz w:val="16"/>
          <w:szCs w:val="16"/>
        </w:rPr>
      </w:pPr>
      <w:r w:rsidRPr="00B623F1">
        <w:rPr>
          <w:sz w:val="16"/>
          <w:szCs w:val="16"/>
        </w:rPr>
        <w:t>The Summary Risk indicator (SRI) for this product is 2 out of 7, which is a low risk class. This rates the potential losses from future performance at a low level. The past may be a poor predictor of the future and, hence, the actual risk of losing money may vary significantly.</w:t>
      </w:r>
    </w:p>
    <w:p w14:paraId="2673C4A4" w14:textId="77777777" w:rsidR="00363DC8" w:rsidRDefault="00363DC8" w:rsidP="00363DC8">
      <w:pPr>
        <w:spacing w:after="0"/>
        <w:jc w:val="both"/>
        <w:rPr>
          <w:sz w:val="16"/>
          <w:szCs w:val="16"/>
        </w:rPr>
      </w:pPr>
    </w:p>
    <w:p w14:paraId="424B9B93" w14:textId="77777777" w:rsidR="00363DC8" w:rsidRDefault="00363DC8" w:rsidP="00363DC8">
      <w:pPr>
        <w:spacing w:after="0"/>
        <w:jc w:val="both"/>
        <w:rPr>
          <w:sz w:val="16"/>
          <w:szCs w:val="16"/>
        </w:rPr>
      </w:pPr>
      <w:r w:rsidRPr="004B7A7D">
        <w:rPr>
          <w:b/>
          <w:bCs/>
          <w:sz w:val="16"/>
          <w:szCs w:val="16"/>
        </w:rPr>
        <w:t>Be aware of a potential currency risk</w:t>
      </w:r>
      <w:r w:rsidRPr="004B7A7D">
        <w:rPr>
          <w:sz w:val="16"/>
          <w:szCs w:val="16"/>
        </w:rPr>
        <w:t xml:space="preserve"> when your reference currency differs from the currency of the product. You will receive payments in a different currency, so the final return you will get depends on the exchange rate between the two currencies. This type of risk is not considered in the indicator shown above. </w:t>
      </w:r>
      <w:r w:rsidRPr="004B7A7D">
        <w:rPr>
          <w:b/>
          <w:bCs/>
          <w:sz w:val="16"/>
          <w:szCs w:val="16"/>
        </w:rPr>
        <w:t>Be aware of liquidity risks</w:t>
      </w:r>
      <w:r w:rsidRPr="004B7A7D">
        <w:rPr>
          <w:sz w:val="16"/>
          <w:szCs w:val="16"/>
        </w:rPr>
        <w:t xml:space="preserve">: redemptions are limited to </w:t>
      </w:r>
      <w:r>
        <w:rPr>
          <w:sz w:val="16"/>
          <w:szCs w:val="16"/>
        </w:rPr>
        <w:t>weekly</w:t>
      </w:r>
      <w:r w:rsidRPr="004B7A7D">
        <w:rPr>
          <w:sz w:val="16"/>
          <w:szCs w:val="16"/>
        </w:rPr>
        <w:t xml:space="preserve"> and under certain market conditions redemptions might be partially limited or fully ceased for some period of time.</w:t>
      </w:r>
    </w:p>
    <w:p w14:paraId="699C21A1" w14:textId="77777777" w:rsidR="00363DC8" w:rsidRPr="004B7A7D" w:rsidRDefault="00363DC8" w:rsidP="00363DC8">
      <w:pPr>
        <w:spacing w:after="0"/>
        <w:jc w:val="both"/>
        <w:rPr>
          <w:sz w:val="16"/>
          <w:szCs w:val="16"/>
        </w:rPr>
      </w:pPr>
    </w:p>
    <w:p w14:paraId="25C3056A" w14:textId="77777777" w:rsidR="00363DC8" w:rsidRDefault="00363DC8" w:rsidP="00363DC8">
      <w:pPr>
        <w:spacing w:after="0"/>
        <w:jc w:val="both"/>
        <w:rPr>
          <w:noProof/>
          <w:sz w:val="16"/>
          <w:szCs w:val="16"/>
        </w:rPr>
      </w:pPr>
      <w:r w:rsidRPr="004B7A7D">
        <w:rPr>
          <w:sz w:val="16"/>
          <w:szCs w:val="16"/>
        </w:rPr>
        <w:t xml:space="preserve">The </w:t>
      </w:r>
      <w:r>
        <w:rPr>
          <w:sz w:val="16"/>
          <w:szCs w:val="16"/>
        </w:rPr>
        <w:t>p</w:t>
      </w:r>
      <w:r w:rsidRPr="004B7A7D">
        <w:rPr>
          <w:sz w:val="16"/>
          <w:szCs w:val="16"/>
        </w:rPr>
        <w:t>roduct may be exposed to further risks e.g. operational, counterparty,</w:t>
      </w:r>
      <w:r>
        <w:rPr>
          <w:sz w:val="16"/>
          <w:szCs w:val="16"/>
        </w:rPr>
        <w:t xml:space="preserve"> leveraged investments,</w:t>
      </w:r>
      <w:r w:rsidRPr="004B7A7D">
        <w:rPr>
          <w:sz w:val="16"/>
          <w:szCs w:val="16"/>
        </w:rPr>
        <w:t xml:space="preserve"> political and legal, which are not included in the summary risk indicator. Please refer to the prospectus for more detail.</w:t>
      </w:r>
      <w:r w:rsidRPr="004B7A7D">
        <w:rPr>
          <w:noProof/>
          <w:sz w:val="16"/>
          <w:szCs w:val="16"/>
        </w:rPr>
        <w:t xml:space="preserve"> </w:t>
      </w:r>
    </w:p>
    <w:p w14:paraId="45B38AE0" w14:textId="77777777" w:rsidR="00363DC8" w:rsidRDefault="00363DC8" w:rsidP="00363DC8">
      <w:pPr>
        <w:spacing w:after="0"/>
        <w:jc w:val="both"/>
        <w:rPr>
          <w:b/>
          <w:bCs/>
          <w:sz w:val="16"/>
          <w:szCs w:val="16"/>
        </w:rPr>
        <w:sectPr w:rsidR="00363DC8" w:rsidSect="00CE7CDC">
          <w:type w:val="continuous"/>
          <w:pgSz w:w="12240" w:h="15840"/>
          <w:pgMar w:top="1440" w:right="1440" w:bottom="1440" w:left="1440" w:header="720" w:footer="720" w:gutter="0"/>
          <w:cols w:space="720"/>
          <w:docGrid w:linePitch="360"/>
        </w:sectPr>
      </w:pPr>
    </w:p>
    <w:p w14:paraId="13E38546" w14:textId="77777777" w:rsidR="00363DC8" w:rsidRDefault="00363DC8" w:rsidP="00363DC8">
      <w:pPr>
        <w:spacing w:after="0"/>
        <w:jc w:val="both"/>
        <w:rPr>
          <w:b/>
          <w:bCs/>
          <w:sz w:val="16"/>
          <w:szCs w:val="16"/>
        </w:rPr>
      </w:pPr>
    </w:p>
    <w:p w14:paraId="1A7C965D" w14:textId="77777777" w:rsidR="00363DC8" w:rsidRPr="004B7A7D" w:rsidRDefault="00363DC8" w:rsidP="00363DC8">
      <w:pPr>
        <w:spacing w:after="0"/>
        <w:jc w:val="both"/>
        <w:rPr>
          <w:b/>
          <w:bCs/>
          <w:sz w:val="16"/>
          <w:szCs w:val="16"/>
        </w:rPr>
      </w:pPr>
      <w:r w:rsidRPr="004B7A7D">
        <w:rPr>
          <w:b/>
          <w:bCs/>
          <w:sz w:val="16"/>
          <w:szCs w:val="16"/>
        </w:rPr>
        <w:t>Performance Scenarios</w:t>
      </w:r>
    </w:p>
    <w:tbl>
      <w:tblPr>
        <w:tblStyle w:val="TableGrid"/>
        <w:tblW w:w="0" w:type="auto"/>
        <w:tblLook w:val="04A0" w:firstRow="1" w:lastRow="0" w:firstColumn="1" w:lastColumn="0" w:noHBand="0" w:noVBand="1"/>
      </w:tblPr>
      <w:tblGrid>
        <w:gridCol w:w="1255"/>
        <w:gridCol w:w="2568"/>
        <w:gridCol w:w="1787"/>
        <w:gridCol w:w="1870"/>
        <w:gridCol w:w="1870"/>
      </w:tblGrid>
      <w:tr w:rsidR="00363DC8" w14:paraId="0A312212" w14:textId="77777777" w:rsidTr="0003274B">
        <w:tc>
          <w:tcPr>
            <w:tcW w:w="3823" w:type="dxa"/>
            <w:gridSpan w:val="2"/>
          </w:tcPr>
          <w:p w14:paraId="38A12FA6" w14:textId="45779457" w:rsidR="00363DC8" w:rsidRDefault="00363DC8" w:rsidP="0003274B">
            <w:pPr>
              <w:jc w:val="center"/>
              <w:rPr>
                <w:b/>
                <w:bCs/>
                <w:sz w:val="16"/>
                <w:szCs w:val="16"/>
              </w:rPr>
            </w:pPr>
            <w:r>
              <w:rPr>
                <w:b/>
                <w:bCs/>
                <w:sz w:val="16"/>
                <w:szCs w:val="16"/>
              </w:rPr>
              <w:t xml:space="preserve">Investment EUR </w:t>
            </w:r>
            <w:r w:rsidR="00F103CE">
              <w:rPr>
                <w:b/>
                <w:bCs/>
                <w:sz w:val="16"/>
                <w:szCs w:val="16"/>
              </w:rPr>
              <w:t>10,000</w:t>
            </w:r>
            <w:r>
              <w:rPr>
                <w:b/>
                <w:bCs/>
                <w:sz w:val="16"/>
                <w:szCs w:val="16"/>
              </w:rPr>
              <w:t xml:space="preserve"> Scenarios</w:t>
            </w:r>
          </w:p>
        </w:tc>
        <w:tc>
          <w:tcPr>
            <w:tcW w:w="1787" w:type="dxa"/>
          </w:tcPr>
          <w:p w14:paraId="1AADC02F" w14:textId="77777777" w:rsidR="00363DC8" w:rsidRDefault="00363DC8" w:rsidP="0003274B">
            <w:pPr>
              <w:jc w:val="center"/>
              <w:rPr>
                <w:b/>
                <w:bCs/>
                <w:sz w:val="16"/>
                <w:szCs w:val="16"/>
              </w:rPr>
            </w:pPr>
            <w:r>
              <w:rPr>
                <w:b/>
                <w:bCs/>
                <w:sz w:val="16"/>
                <w:szCs w:val="16"/>
              </w:rPr>
              <w:t>1 year</w:t>
            </w:r>
          </w:p>
        </w:tc>
        <w:tc>
          <w:tcPr>
            <w:tcW w:w="1870" w:type="dxa"/>
          </w:tcPr>
          <w:p w14:paraId="16B28C7D" w14:textId="77777777" w:rsidR="00363DC8" w:rsidRDefault="00363DC8" w:rsidP="0003274B">
            <w:pPr>
              <w:jc w:val="center"/>
              <w:rPr>
                <w:b/>
                <w:bCs/>
                <w:sz w:val="16"/>
                <w:szCs w:val="16"/>
              </w:rPr>
            </w:pPr>
            <w:r>
              <w:rPr>
                <w:b/>
                <w:bCs/>
                <w:sz w:val="16"/>
                <w:szCs w:val="16"/>
              </w:rPr>
              <w:t>3 years</w:t>
            </w:r>
          </w:p>
        </w:tc>
        <w:tc>
          <w:tcPr>
            <w:tcW w:w="1870" w:type="dxa"/>
          </w:tcPr>
          <w:p w14:paraId="5AC460D7" w14:textId="0B95041F" w:rsidR="00363DC8" w:rsidRDefault="00363DC8" w:rsidP="0003274B">
            <w:pPr>
              <w:jc w:val="center"/>
              <w:rPr>
                <w:b/>
                <w:bCs/>
                <w:sz w:val="16"/>
                <w:szCs w:val="16"/>
              </w:rPr>
            </w:pPr>
            <w:r w:rsidRPr="00F103CE">
              <w:rPr>
                <w:b/>
                <w:bCs/>
                <w:sz w:val="16"/>
                <w:szCs w:val="16"/>
              </w:rPr>
              <w:t>5 years</w:t>
            </w:r>
          </w:p>
          <w:p w14:paraId="3AC3F23F" w14:textId="77777777" w:rsidR="00363DC8" w:rsidRDefault="00363DC8" w:rsidP="0003274B">
            <w:pPr>
              <w:jc w:val="center"/>
              <w:rPr>
                <w:b/>
                <w:bCs/>
                <w:sz w:val="16"/>
                <w:szCs w:val="16"/>
              </w:rPr>
            </w:pPr>
            <w:r>
              <w:rPr>
                <w:b/>
                <w:bCs/>
                <w:sz w:val="16"/>
                <w:szCs w:val="16"/>
              </w:rPr>
              <w:t>Recommended holding period</w:t>
            </w:r>
          </w:p>
        </w:tc>
      </w:tr>
      <w:tr w:rsidR="00363DC8" w14:paraId="0AF127B2" w14:textId="77777777" w:rsidTr="0003274B">
        <w:tc>
          <w:tcPr>
            <w:tcW w:w="1255" w:type="dxa"/>
            <w:vMerge w:val="restart"/>
          </w:tcPr>
          <w:p w14:paraId="19F4D572" w14:textId="77777777" w:rsidR="00363DC8" w:rsidRDefault="00363DC8" w:rsidP="0003274B">
            <w:pPr>
              <w:jc w:val="both"/>
              <w:rPr>
                <w:b/>
                <w:bCs/>
                <w:sz w:val="16"/>
                <w:szCs w:val="16"/>
              </w:rPr>
            </w:pPr>
            <w:r>
              <w:rPr>
                <w:b/>
                <w:bCs/>
                <w:sz w:val="16"/>
                <w:szCs w:val="16"/>
              </w:rPr>
              <w:t>Stress scenario</w:t>
            </w:r>
          </w:p>
        </w:tc>
        <w:tc>
          <w:tcPr>
            <w:tcW w:w="2568" w:type="dxa"/>
          </w:tcPr>
          <w:p w14:paraId="60AD4623" w14:textId="77777777" w:rsidR="00363DC8" w:rsidRPr="007F6C55" w:rsidRDefault="00363DC8" w:rsidP="0003274B">
            <w:pPr>
              <w:autoSpaceDE w:val="0"/>
              <w:autoSpaceDN w:val="0"/>
              <w:adjustRightInd w:val="0"/>
              <w:rPr>
                <w:rFonts w:cstheme="minorHAnsi"/>
                <w:sz w:val="16"/>
                <w:szCs w:val="16"/>
              </w:rPr>
            </w:pPr>
            <w:r w:rsidRPr="007F6C55">
              <w:rPr>
                <w:rFonts w:cstheme="minorHAnsi"/>
                <w:sz w:val="16"/>
                <w:szCs w:val="16"/>
              </w:rPr>
              <w:t>What you might get back after costs</w:t>
            </w:r>
          </w:p>
        </w:tc>
        <w:tc>
          <w:tcPr>
            <w:tcW w:w="1787" w:type="dxa"/>
          </w:tcPr>
          <w:p w14:paraId="726890BE" w14:textId="1496B513" w:rsidR="00363DC8" w:rsidRPr="001B4433" w:rsidRDefault="00363DC8" w:rsidP="0003274B">
            <w:pPr>
              <w:jc w:val="center"/>
              <w:rPr>
                <w:sz w:val="16"/>
                <w:szCs w:val="16"/>
              </w:rPr>
            </w:pPr>
            <w:r>
              <w:rPr>
                <w:sz w:val="16"/>
                <w:szCs w:val="16"/>
              </w:rPr>
              <w:t>EUR</w:t>
            </w:r>
            <w:r w:rsidR="00B0483D">
              <w:rPr>
                <w:sz w:val="16"/>
                <w:szCs w:val="16"/>
              </w:rPr>
              <w:t xml:space="preserve"> 7,296</w:t>
            </w:r>
          </w:p>
        </w:tc>
        <w:tc>
          <w:tcPr>
            <w:tcW w:w="1870" w:type="dxa"/>
          </w:tcPr>
          <w:p w14:paraId="3085B5AC" w14:textId="4AE3FCC6" w:rsidR="00363DC8" w:rsidRPr="005D1CD1" w:rsidRDefault="00363DC8" w:rsidP="0003274B">
            <w:pPr>
              <w:jc w:val="center"/>
              <w:rPr>
                <w:sz w:val="16"/>
                <w:szCs w:val="16"/>
              </w:rPr>
            </w:pPr>
            <w:r>
              <w:rPr>
                <w:sz w:val="16"/>
                <w:szCs w:val="16"/>
              </w:rPr>
              <w:t>EUR</w:t>
            </w:r>
            <w:r w:rsidR="00B0483D">
              <w:rPr>
                <w:sz w:val="16"/>
                <w:szCs w:val="16"/>
              </w:rPr>
              <w:t xml:space="preserve"> 7,655</w:t>
            </w:r>
          </w:p>
        </w:tc>
        <w:tc>
          <w:tcPr>
            <w:tcW w:w="1870" w:type="dxa"/>
          </w:tcPr>
          <w:p w14:paraId="149749A6" w14:textId="4562AF85" w:rsidR="00363DC8" w:rsidRPr="005D1CD1" w:rsidRDefault="00363DC8" w:rsidP="0003274B">
            <w:pPr>
              <w:jc w:val="center"/>
              <w:rPr>
                <w:sz w:val="16"/>
                <w:szCs w:val="16"/>
              </w:rPr>
            </w:pPr>
            <w:r>
              <w:rPr>
                <w:sz w:val="16"/>
                <w:szCs w:val="16"/>
              </w:rPr>
              <w:t>EUR</w:t>
            </w:r>
            <w:r w:rsidR="00B0483D">
              <w:rPr>
                <w:sz w:val="16"/>
                <w:szCs w:val="16"/>
              </w:rPr>
              <w:t xml:space="preserve"> 7,05</w:t>
            </w:r>
            <w:r w:rsidR="00A84091">
              <w:rPr>
                <w:sz w:val="16"/>
                <w:szCs w:val="16"/>
              </w:rPr>
              <w:t>8</w:t>
            </w:r>
          </w:p>
        </w:tc>
      </w:tr>
      <w:tr w:rsidR="00363DC8" w14:paraId="0E8A5298" w14:textId="77777777" w:rsidTr="0003274B">
        <w:tc>
          <w:tcPr>
            <w:tcW w:w="1255" w:type="dxa"/>
            <w:vMerge/>
          </w:tcPr>
          <w:p w14:paraId="608C8897" w14:textId="77777777" w:rsidR="00363DC8" w:rsidRDefault="00363DC8" w:rsidP="0003274B">
            <w:pPr>
              <w:jc w:val="both"/>
              <w:rPr>
                <w:b/>
                <w:bCs/>
                <w:sz w:val="16"/>
                <w:szCs w:val="16"/>
              </w:rPr>
            </w:pPr>
          </w:p>
        </w:tc>
        <w:tc>
          <w:tcPr>
            <w:tcW w:w="2568" w:type="dxa"/>
          </w:tcPr>
          <w:p w14:paraId="0A60FA27" w14:textId="77777777" w:rsidR="00363DC8" w:rsidRPr="007F6C55" w:rsidRDefault="00363DC8" w:rsidP="0003274B">
            <w:pPr>
              <w:jc w:val="both"/>
              <w:rPr>
                <w:rFonts w:cstheme="minorHAnsi"/>
                <w:b/>
                <w:bCs/>
                <w:sz w:val="16"/>
                <w:szCs w:val="16"/>
              </w:rPr>
            </w:pPr>
            <w:r w:rsidRPr="007F6C55">
              <w:rPr>
                <w:rFonts w:cstheme="minorHAnsi"/>
                <w:sz w:val="16"/>
                <w:szCs w:val="16"/>
              </w:rPr>
              <w:t>Average return each year</w:t>
            </w:r>
          </w:p>
        </w:tc>
        <w:tc>
          <w:tcPr>
            <w:tcW w:w="1787" w:type="dxa"/>
          </w:tcPr>
          <w:p w14:paraId="45694FDB" w14:textId="23E00DC6" w:rsidR="00363DC8" w:rsidRPr="001B4433" w:rsidRDefault="00B0483D" w:rsidP="0003274B">
            <w:pPr>
              <w:jc w:val="center"/>
              <w:rPr>
                <w:sz w:val="16"/>
                <w:szCs w:val="16"/>
              </w:rPr>
            </w:pPr>
            <w:r>
              <w:rPr>
                <w:sz w:val="16"/>
                <w:szCs w:val="16"/>
              </w:rPr>
              <w:t xml:space="preserve">-27.04 </w:t>
            </w:r>
            <w:r w:rsidR="00363DC8" w:rsidRPr="001B4433">
              <w:rPr>
                <w:sz w:val="16"/>
                <w:szCs w:val="16"/>
              </w:rPr>
              <w:t>%</w:t>
            </w:r>
          </w:p>
        </w:tc>
        <w:tc>
          <w:tcPr>
            <w:tcW w:w="1870" w:type="dxa"/>
          </w:tcPr>
          <w:p w14:paraId="74296C68" w14:textId="7AC944DC" w:rsidR="00363DC8" w:rsidRPr="001B4433" w:rsidRDefault="00B0483D" w:rsidP="0003274B">
            <w:pPr>
              <w:jc w:val="center"/>
              <w:rPr>
                <w:sz w:val="16"/>
                <w:szCs w:val="16"/>
              </w:rPr>
            </w:pPr>
            <w:r>
              <w:rPr>
                <w:sz w:val="16"/>
                <w:szCs w:val="16"/>
              </w:rPr>
              <w:t xml:space="preserve">-8.52 </w:t>
            </w:r>
            <w:r w:rsidR="00363DC8" w:rsidRPr="001B4433">
              <w:rPr>
                <w:sz w:val="16"/>
                <w:szCs w:val="16"/>
              </w:rPr>
              <w:t>%</w:t>
            </w:r>
          </w:p>
        </w:tc>
        <w:tc>
          <w:tcPr>
            <w:tcW w:w="1870" w:type="dxa"/>
          </w:tcPr>
          <w:p w14:paraId="7430C88A" w14:textId="449FF6EA" w:rsidR="00363DC8" w:rsidRPr="001B4433" w:rsidRDefault="00B0483D" w:rsidP="0003274B">
            <w:pPr>
              <w:jc w:val="center"/>
              <w:rPr>
                <w:sz w:val="16"/>
                <w:szCs w:val="16"/>
              </w:rPr>
            </w:pPr>
            <w:r>
              <w:rPr>
                <w:sz w:val="16"/>
                <w:szCs w:val="16"/>
              </w:rPr>
              <w:t xml:space="preserve">-6.73 </w:t>
            </w:r>
            <w:r w:rsidR="00363DC8" w:rsidRPr="001B4433">
              <w:rPr>
                <w:sz w:val="16"/>
                <w:szCs w:val="16"/>
              </w:rPr>
              <w:t>%</w:t>
            </w:r>
          </w:p>
        </w:tc>
      </w:tr>
      <w:tr w:rsidR="00363DC8" w14:paraId="0CC87BB9" w14:textId="77777777" w:rsidTr="0003274B">
        <w:tc>
          <w:tcPr>
            <w:tcW w:w="1255" w:type="dxa"/>
            <w:vMerge w:val="restart"/>
          </w:tcPr>
          <w:p w14:paraId="6B8F3974" w14:textId="77777777" w:rsidR="00363DC8" w:rsidRDefault="00363DC8" w:rsidP="0003274B">
            <w:pPr>
              <w:jc w:val="both"/>
              <w:rPr>
                <w:b/>
                <w:bCs/>
                <w:sz w:val="16"/>
                <w:szCs w:val="16"/>
              </w:rPr>
            </w:pPr>
            <w:r>
              <w:rPr>
                <w:b/>
                <w:bCs/>
                <w:sz w:val="16"/>
                <w:szCs w:val="16"/>
              </w:rPr>
              <w:t>Unfavorable scenario</w:t>
            </w:r>
          </w:p>
        </w:tc>
        <w:tc>
          <w:tcPr>
            <w:tcW w:w="2568" w:type="dxa"/>
          </w:tcPr>
          <w:p w14:paraId="709C05BB" w14:textId="77777777" w:rsidR="00363DC8" w:rsidRDefault="00363DC8" w:rsidP="0003274B">
            <w:pPr>
              <w:jc w:val="both"/>
              <w:rPr>
                <w:b/>
                <w:bCs/>
                <w:sz w:val="16"/>
                <w:szCs w:val="16"/>
              </w:rPr>
            </w:pPr>
            <w:r w:rsidRPr="007F6C55">
              <w:rPr>
                <w:rFonts w:cstheme="minorHAnsi"/>
                <w:sz w:val="16"/>
                <w:szCs w:val="16"/>
              </w:rPr>
              <w:t>What you might get back after costs</w:t>
            </w:r>
          </w:p>
        </w:tc>
        <w:tc>
          <w:tcPr>
            <w:tcW w:w="1787" w:type="dxa"/>
          </w:tcPr>
          <w:p w14:paraId="2C94DB09" w14:textId="767626F6" w:rsidR="00363DC8" w:rsidRPr="001B4433" w:rsidRDefault="00363DC8" w:rsidP="0003274B">
            <w:pPr>
              <w:jc w:val="center"/>
              <w:rPr>
                <w:sz w:val="16"/>
                <w:szCs w:val="16"/>
              </w:rPr>
            </w:pPr>
            <w:r>
              <w:rPr>
                <w:sz w:val="16"/>
                <w:szCs w:val="16"/>
              </w:rPr>
              <w:t>EUR</w:t>
            </w:r>
            <w:r w:rsidR="00A84091">
              <w:rPr>
                <w:sz w:val="16"/>
                <w:szCs w:val="16"/>
              </w:rPr>
              <w:t xml:space="preserve"> 9,433</w:t>
            </w:r>
          </w:p>
        </w:tc>
        <w:tc>
          <w:tcPr>
            <w:tcW w:w="1870" w:type="dxa"/>
          </w:tcPr>
          <w:p w14:paraId="65A3A4BC" w14:textId="607E7C91" w:rsidR="00363DC8" w:rsidRPr="001B4433" w:rsidRDefault="00363DC8" w:rsidP="0003274B">
            <w:pPr>
              <w:jc w:val="center"/>
              <w:rPr>
                <w:sz w:val="16"/>
                <w:szCs w:val="16"/>
              </w:rPr>
            </w:pPr>
            <w:r>
              <w:rPr>
                <w:sz w:val="16"/>
                <w:szCs w:val="16"/>
              </w:rPr>
              <w:t>EUR</w:t>
            </w:r>
            <w:r w:rsidR="00A84091">
              <w:rPr>
                <w:sz w:val="16"/>
                <w:szCs w:val="16"/>
              </w:rPr>
              <w:t xml:space="preserve"> 9,076</w:t>
            </w:r>
          </w:p>
        </w:tc>
        <w:tc>
          <w:tcPr>
            <w:tcW w:w="1870" w:type="dxa"/>
          </w:tcPr>
          <w:p w14:paraId="51F3B08A" w14:textId="1D56187D" w:rsidR="00363DC8" w:rsidRPr="001B4433" w:rsidRDefault="00363DC8" w:rsidP="0003274B">
            <w:pPr>
              <w:jc w:val="center"/>
              <w:rPr>
                <w:sz w:val="16"/>
                <w:szCs w:val="16"/>
              </w:rPr>
            </w:pPr>
            <w:r>
              <w:rPr>
                <w:sz w:val="16"/>
                <w:szCs w:val="16"/>
              </w:rPr>
              <w:t>EUR</w:t>
            </w:r>
            <w:r w:rsidR="00A84091">
              <w:rPr>
                <w:sz w:val="16"/>
                <w:szCs w:val="16"/>
              </w:rPr>
              <w:t xml:space="preserve"> 8,857</w:t>
            </w:r>
          </w:p>
        </w:tc>
      </w:tr>
      <w:tr w:rsidR="00363DC8" w14:paraId="55BC93B8" w14:textId="77777777" w:rsidTr="0003274B">
        <w:tc>
          <w:tcPr>
            <w:tcW w:w="1255" w:type="dxa"/>
            <w:vMerge/>
          </w:tcPr>
          <w:p w14:paraId="023F16AB" w14:textId="77777777" w:rsidR="00363DC8" w:rsidRDefault="00363DC8" w:rsidP="0003274B">
            <w:pPr>
              <w:jc w:val="both"/>
              <w:rPr>
                <w:b/>
                <w:bCs/>
                <w:sz w:val="16"/>
                <w:szCs w:val="16"/>
              </w:rPr>
            </w:pPr>
          </w:p>
        </w:tc>
        <w:tc>
          <w:tcPr>
            <w:tcW w:w="2568" w:type="dxa"/>
          </w:tcPr>
          <w:p w14:paraId="495542E9" w14:textId="77777777" w:rsidR="00363DC8" w:rsidRDefault="00363DC8" w:rsidP="0003274B">
            <w:pPr>
              <w:jc w:val="both"/>
              <w:rPr>
                <w:b/>
                <w:bCs/>
                <w:sz w:val="16"/>
                <w:szCs w:val="16"/>
              </w:rPr>
            </w:pPr>
            <w:r w:rsidRPr="007F6C55">
              <w:rPr>
                <w:rFonts w:cstheme="minorHAnsi"/>
                <w:sz w:val="16"/>
                <w:szCs w:val="16"/>
              </w:rPr>
              <w:t>Average return each year</w:t>
            </w:r>
          </w:p>
        </w:tc>
        <w:tc>
          <w:tcPr>
            <w:tcW w:w="1787" w:type="dxa"/>
          </w:tcPr>
          <w:p w14:paraId="66F4C59A" w14:textId="5C6716B6" w:rsidR="00363DC8" w:rsidRPr="001B4433" w:rsidRDefault="00B0483D" w:rsidP="0003274B">
            <w:pPr>
              <w:jc w:val="center"/>
              <w:rPr>
                <w:sz w:val="16"/>
                <w:szCs w:val="16"/>
              </w:rPr>
            </w:pPr>
            <w:r>
              <w:rPr>
                <w:sz w:val="16"/>
                <w:szCs w:val="16"/>
              </w:rPr>
              <w:t xml:space="preserve">-5.67 </w:t>
            </w:r>
            <w:r w:rsidR="00363DC8" w:rsidRPr="001B4433">
              <w:rPr>
                <w:sz w:val="16"/>
                <w:szCs w:val="16"/>
              </w:rPr>
              <w:t>%</w:t>
            </w:r>
          </w:p>
        </w:tc>
        <w:tc>
          <w:tcPr>
            <w:tcW w:w="1870" w:type="dxa"/>
          </w:tcPr>
          <w:p w14:paraId="574D976F" w14:textId="3C357619" w:rsidR="00363DC8" w:rsidRPr="001B4433" w:rsidRDefault="00B0483D" w:rsidP="0003274B">
            <w:pPr>
              <w:jc w:val="center"/>
              <w:rPr>
                <w:sz w:val="16"/>
                <w:szCs w:val="16"/>
              </w:rPr>
            </w:pPr>
            <w:r>
              <w:rPr>
                <w:sz w:val="16"/>
                <w:szCs w:val="16"/>
              </w:rPr>
              <w:t xml:space="preserve">-3.18 </w:t>
            </w:r>
            <w:r w:rsidR="00363DC8" w:rsidRPr="001B4433">
              <w:rPr>
                <w:sz w:val="16"/>
                <w:szCs w:val="16"/>
              </w:rPr>
              <w:t>%</w:t>
            </w:r>
          </w:p>
        </w:tc>
        <w:tc>
          <w:tcPr>
            <w:tcW w:w="1870" w:type="dxa"/>
          </w:tcPr>
          <w:p w14:paraId="56B76C24" w14:textId="3BF48F13" w:rsidR="00363DC8" w:rsidRPr="001B4433" w:rsidRDefault="00B0483D" w:rsidP="0003274B">
            <w:pPr>
              <w:jc w:val="center"/>
              <w:rPr>
                <w:sz w:val="16"/>
                <w:szCs w:val="16"/>
              </w:rPr>
            </w:pPr>
            <w:r>
              <w:rPr>
                <w:sz w:val="16"/>
                <w:szCs w:val="16"/>
              </w:rPr>
              <w:t xml:space="preserve">-2.40 </w:t>
            </w:r>
            <w:r w:rsidR="00363DC8" w:rsidRPr="001B4433">
              <w:rPr>
                <w:sz w:val="16"/>
                <w:szCs w:val="16"/>
              </w:rPr>
              <w:t>%</w:t>
            </w:r>
          </w:p>
        </w:tc>
      </w:tr>
      <w:tr w:rsidR="00363DC8" w14:paraId="73056C51" w14:textId="77777777" w:rsidTr="0003274B">
        <w:tc>
          <w:tcPr>
            <w:tcW w:w="1255" w:type="dxa"/>
            <w:vMerge w:val="restart"/>
          </w:tcPr>
          <w:p w14:paraId="3E7BD03D" w14:textId="77777777" w:rsidR="00363DC8" w:rsidRDefault="00363DC8" w:rsidP="0003274B">
            <w:pPr>
              <w:jc w:val="both"/>
              <w:rPr>
                <w:b/>
                <w:bCs/>
                <w:sz w:val="16"/>
                <w:szCs w:val="16"/>
              </w:rPr>
            </w:pPr>
            <w:r>
              <w:rPr>
                <w:b/>
                <w:bCs/>
                <w:sz w:val="16"/>
                <w:szCs w:val="16"/>
              </w:rPr>
              <w:t>Moderate Scenario</w:t>
            </w:r>
          </w:p>
        </w:tc>
        <w:tc>
          <w:tcPr>
            <w:tcW w:w="2568" w:type="dxa"/>
          </w:tcPr>
          <w:p w14:paraId="2EF07832" w14:textId="77777777" w:rsidR="00363DC8" w:rsidRDefault="00363DC8" w:rsidP="0003274B">
            <w:pPr>
              <w:jc w:val="both"/>
              <w:rPr>
                <w:b/>
                <w:bCs/>
                <w:sz w:val="16"/>
                <w:szCs w:val="16"/>
              </w:rPr>
            </w:pPr>
            <w:r w:rsidRPr="007F6C55">
              <w:rPr>
                <w:rFonts w:cstheme="minorHAnsi"/>
                <w:sz w:val="16"/>
                <w:szCs w:val="16"/>
              </w:rPr>
              <w:t>What you might get back after costs</w:t>
            </w:r>
          </w:p>
        </w:tc>
        <w:tc>
          <w:tcPr>
            <w:tcW w:w="1787" w:type="dxa"/>
          </w:tcPr>
          <w:p w14:paraId="5A3FED4E" w14:textId="3F415124" w:rsidR="00363DC8" w:rsidRPr="001B4433" w:rsidRDefault="00363DC8" w:rsidP="0003274B">
            <w:pPr>
              <w:jc w:val="center"/>
              <w:rPr>
                <w:sz w:val="16"/>
                <w:szCs w:val="16"/>
              </w:rPr>
            </w:pPr>
            <w:r>
              <w:rPr>
                <w:sz w:val="16"/>
                <w:szCs w:val="16"/>
              </w:rPr>
              <w:t>EUR</w:t>
            </w:r>
            <w:r w:rsidR="00A84091">
              <w:rPr>
                <w:sz w:val="16"/>
                <w:szCs w:val="16"/>
              </w:rPr>
              <w:t xml:space="preserve"> 10,044</w:t>
            </w:r>
          </w:p>
        </w:tc>
        <w:tc>
          <w:tcPr>
            <w:tcW w:w="1870" w:type="dxa"/>
          </w:tcPr>
          <w:p w14:paraId="617FACB0" w14:textId="2E480884" w:rsidR="00363DC8" w:rsidRPr="001B4433" w:rsidRDefault="00363DC8" w:rsidP="0003274B">
            <w:pPr>
              <w:jc w:val="center"/>
              <w:rPr>
                <w:sz w:val="16"/>
                <w:szCs w:val="16"/>
              </w:rPr>
            </w:pPr>
            <w:r>
              <w:rPr>
                <w:sz w:val="16"/>
                <w:szCs w:val="16"/>
              </w:rPr>
              <w:t>EUR</w:t>
            </w:r>
            <w:r w:rsidR="00A84091">
              <w:rPr>
                <w:sz w:val="16"/>
                <w:szCs w:val="16"/>
              </w:rPr>
              <w:t xml:space="preserve"> 10,108</w:t>
            </w:r>
          </w:p>
        </w:tc>
        <w:tc>
          <w:tcPr>
            <w:tcW w:w="1870" w:type="dxa"/>
          </w:tcPr>
          <w:p w14:paraId="7A10D698" w14:textId="0EF829E1" w:rsidR="00363DC8" w:rsidRPr="001B4433" w:rsidRDefault="00363DC8" w:rsidP="0003274B">
            <w:pPr>
              <w:jc w:val="center"/>
              <w:rPr>
                <w:sz w:val="16"/>
                <w:szCs w:val="16"/>
              </w:rPr>
            </w:pPr>
            <w:r>
              <w:rPr>
                <w:sz w:val="16"/>
                <w:szCs w:val="16"/>
              </w:rPr>
              <w:t>EUR</w:t>
            </w:r>
            <w:r w:rsidR="00A84091">
              <w:rPr>
                <w:sz w:val="16"/>
                <w:szCs w:val="16"/>
              </w:rPr>
              <w:t xml:space="preserve"> 10,174</w:t>
            </w:r>
          </w:p>
        </w:tc>
      </w:tr>
      <w:tr w:rsidR="00363DC8" w14:paraId="3B5A336B" w14:textId="77777777" w:rsidTr="0003274B">
        <w:tc>
          <w:tcPr>
            <w:tcW w:w="1255" w:type="dxa"/>
            <w:vMerge/>
          </w:tcPr>
          <w:p w14:paraId="32195D3B" w14:textId="77777777" w:rsidR="00363DC8" w:rsidRDefault="00363DC8" w:rsidP="0003274B">
            <w:pPr>
              <w:jc w:val="both"/>
              <w:rPr>
                <w:b/>
                <w:bCs/>
                <w:sz w:val="16"/>
                <w:szCs w:val="16"/>
              </w:rPr>
            </w:pPr>
          </w:p>
        </w:tc>
        <w:tc>
          <w:tcPr>
            <w:tcW w:w="2568" w:type="dxa"/>
          </w:tcPr>
          <w:p w14:paraId="121A7960" w14:textId="77777777" w:rsidR="00363DC8" w:rsidRDefault="00363DC8" w:rsidP="0003274B">
            <w:pPr>
              <w:jc w:val="both"/>
              <w:rPr>
                <w:b/>
                <w:bCs/>
                <w:sz w:val="16"/>
                <w:szCs w:val="16"/>
              </w:rPr>
            </w:pPr>
            <w:r w:rsidRPr="007F6C55">
              <w:rPr>
                <w:rFonts w:cstheme="minorHAnsi"/>
                <w:sz w:val="16"/>
                <w:szCs w:val="16"/>
              </w:rPr>
              <w:t>Average return each year</w:t>
            </w:r>
          </w:p>
        </w:tc>
        <w:tc>
          <w:tcPr>
            <w:tcW w:w="1787" w:type="dxa"/>
          </w:tcPr>
          <w:p w14:paraId="1CAF22A8" w14:textId="4314234D" w:rsidR="00363DC8" w:rsidRPr="001B4433" w:rsidRDefault="00F660E6" w:rsidP="0003274B">
            <w:pPr>
              <w:jc w:val="center"/>
              <w:rPr>
                <w:sz w:val="16"/>
                <w:szCs w:val="16"/>
              </w:rPr>
            </w:pPr>
            <w:r>
              <w:rPr>
                <w:sz w:val="16"/>
                <w:szCs w:val="16"/>
              </w:rPr>
              <w:t xml:space="preserve">0.44 </w:t>
            </w:r>
            <w:r w:rsidR="00363DC8" w:rsidRPr="001B4433">
              <w:rPr>
                <w:sz w:val="16"/>
                <w:szCs w:val="16"/>
              </w:rPr>
              <w:t>%</w:t>
            </w:r>
          </w:p>
        </w:tc>
        <w:tc>
          <w:tcPr>
            <w:tcW w:w="1870" w:type="dxa"/>
          </w:tcPr>
          <w:p w14:paraId="05D14527" w14:textId="48742AB4" w:rsidR="00363DC8" w:rsidRPr="001B4433" w:rsidRDefault="00F660E6" w:rsidP="0003274B">
            <w:pPr>
              <w:jc w:val="center"/>
              <w:rPr>
                <w:sz w:val="16"/>
                <w:szCs w:val="16"/>
              </w:rPr>
            </w:pPr>
            <w:r>
              <w:rPr>
                <w:sz w:val="16"/>
                <w:szCs w:val="16"/>
              </w:rPr>
              <w:t xml:space="preserve">0.36 </w:t>
            </w:r>
            <w:r w:rsidR="00363DC8" w:rsidRPr="001B4433">
              <w:rPr>
                <w:sz w:val="16"/>
                <w:szCs w:val="16"/>
              </w:rPr>
              <w:t>%</w:t>
            </w:r>
          </w:p>
        </w:tc>
        <w:tc>
          <w:tcPr>
            <w:tcW w:w="1870" w:type="dxa"/>
          </w:tcPr>
          <w:p w14:paraId="48568C89" w14:textId="283B66CD" w:rsidR="00363DC8" w:rsidRPr="001B4433" w:rsidRDefault="00F660E6" w:rsidP="0003274B">
            <w:pPr>
              <w:jc w:val="center"/>
              <w:rPr>
                <w:sz w:val="16"/>
                <w:szCs w:val="16"/>
              </w:rPr>
            </w:pPr>
            <w:r>
              <w:rPr>
                <w:sz w:val="16"/>
                <w:szCs w:val="16"/>
              </w:rPr>
              <w:t xml:space="preserve">0.35 </w:t>
            </w:r>
            <w:r w:rsidR="00363DC8" w:rsidRPr="001B4433">
              <w:rPr>
                <w:sz w:val="16"/>
                <w:szCs w:val="16"/>
              </w:rPr>
              <w:t>%</w:t>
            </w:r>
          </w:p>
        </w:tc>
      </w:tr>
      <w:tr w:rsidR="00363DC8" w14:paraId="38B7B7A0" w14:textId="77777777" w:rsidTr="0003274B">
        <w:tc>
          <w:tcPr>
            <w:tcW w:w="1255" w:type="dxa"/>
            <w:vMerge w:val="restart"/>
          </w:tcPr>
          <w:p w14:paraId="0E736CEF" w14:textId="77777777" w:rsidR="00363DC8" w:rsidRDefault="00363DC8" w:rsidP="0003274B">
            <w:pPr>
              <w:jc w:val="both"/>
              <w:rPr>
                <w:b/>
                <w:bCs/>
                <w:sz w:val="16"/>
                <w:szCs w:val="16"/>
              </w:rPr>
            </w:pPr>
            <w:r>
              <w:rPr>
                <w:b/>
                <w:bCs/>
                <w:sz w:val="16"/>
                <w:szCs w:val="16"/>
              </w:rPr>
              <w:t>Favorable Scenario</w:t>
            </w:r>
          </w:p>
        </w:tc>
        <w:tc>
          <w:tcPr>
            <w:tcW w:w="2568" w:type="dxa"/>
          </w:tcPr>
          <w:p w14:paraId="7D26D739" w14:textId="77777777" w:rsidR="00363DC8" w:rsidRDefault="00363DC8" w:rsidP="0003274B">
            <w:pPr>
              <w:jc w:val="both"/>
              <w:rPr>
                <w:b/>
                <w:bCs/>
                <w:sz w:val="16"/>
                <w:szCs w:val="16"/>
              </w:rPr>
            </w:pPr>
            <w:r w:rsidRPr="007F6C55">
              <w:rPr>
                <w:rFonts w:cstheme="minorHAnsi"/>
                <w:sz w:val="16"/>
                <w:szCs w:val="16"/>
              </w:rPr>
              <w:t>What you might get back after costs</w:t>
            </w:r>
          </w:p>
        </w:tc>
        <w:tc>
          <w:tcPr>
            <w:tcW w:w="1787" w:type="dxa"/>
          </w:tcPr>
          <w:p w14:paraId="561BB412" w14:textId="19CF7AC7" w:rsidR="00363DC8" w:rsidRPr="001B4433" w:rsidRDefault="00363DC8" w:rsidP="0003274B">
            <w:pPr>
              <w:jc w:val="center"/>
              <w:rPr>
                <w:sz w:val="16"/>
                <w:szCs w:val="16"/>
              </w:rPr>
            </w:pPr>
            <w:r>
              <w:rPr>
                <w:sz w:val="16"/>
                <w:szCs w:val="16"/>
              </w:rPr>
              <w:t>EUR</w:t>
            </w:r>
            <w:r w:rsidR="00A84091">
              <w:rPr>
                <w:sz w:val="16"/>
                <w:szCs w:val="16"/>
              </w:rPr>
              <w:t xml:space="preserve"> 10,655</w:t>
            </w:r>
          </w:p>
        </w:tc>
        <w:tc>
          <w:tcPr>
            <w:tcW w:w="1870" w:type="dxa"/>
          </w:tcPr>
          <w:p w14:paraId="7FD7F4DF" w14:textId="5BBB799C" w:rsidR="00363DC8" w:rsidRPr="001B4433" w:rsidRDefault="00363DC8" w:rsidP="0003274B">
            <w:pPr>
              <w:jc w:val="center"/>
              <w:rPr>
                <w:sz w:val="16"/>
                <w:szCs w:val="16"/>
              </w:rPr>
            </w:pPr>
            <w:r>
              <w:rPr>
                <w:sz w:val="16"/>
                <w:szCs w:val="16"/>
              </w:rPr>
              <w:t>EUR</w:t>
            </w:r>
            <w:r w:rsidR="00A84091">
              <w:rPr>
                <w:sz w:val="16"/>
                <w:szCs w:val="16"/>
              </w:rPr>
              <w:t xml:space="preserve"> 11,217</w:t>
            </w:r>
          </w:p>
        </w:tc>
        <w:tc>
          <w:tcPr>
            <w:tcW w:w="1870" w:type="dxa"/>
          </w:tcPr>
          <w:p w14:paraId="1ADA0327" w14:textId="043CE8A7" w:rsidR="00363DC8" w:rsidRPr="001B4433" w:rsidRDefault="00363DC8" w:rsidP="0003274B">
            <w:pPr>
              <w:jc w:val="center"/>
              <w:rPr>
                <w:sz w:val="16"/>
                <w:szCs w:val="16"/>
              </w:rPr>
            </w:pPr>
            <w:r>
              <w:rPr>
                <w:sz w:val="16"/>
                <w:szCs w:val="16"/>
              </w:rPr>
              <w:t>EUR</w:t>
            </w:r>
            <w:r w:rsidR="00A84091">
              <w:rPr>
                <w:sz w:val="16"/>
                <w:szCs w:val="16"/>
              </w:rPr>
              <w:t xml:space="preserve"> 11,644</w:t>
            </w:r>
          </w:p>
        </w:tc>
      </w:tr>
      <w:tr w:rsidR="00363DC8" w14:paraId="079F75D0" w14:textId="77777777" w:rsidTr="0003274B">
        <w:tc>
          <w:tcPr>
            <w:tcW w:w="1255" w:type="dxa"/>
            <w:vMerge/>
          </w:tcPr>
          <w:p w14:paraId="7B0C4166" w14:textId="77777777" w:rsidR="00363DC8" w:rsidRDefault="00363DC8" w:rsidP="0003274B">
            <w:pPr>
              <w:jc w:val="both"/>
              <w:rPr>
                <w:b/>
                <w:bCs/>
                <w:sz w:val="16"/>
                <w:szCs w:val="16"/>
              </w:rPr>
            </w:pPr>
          </w:p>
        </w:tc>
        <w:tc>
          <w:tcPr>
            <w:tcW w:w="2568" w:type="dxa"/>
          </w:tcPr>
          <w:p w14:paraId="2035E2D0" w14:textId="77777777" w:rsidR="00363DC8" w:rsidRDefault="00363DC8" w:rsidP="0003274B">
            <w:pPr>
              <w:jc w:val="both"/>
              <w:rPr>
                <w:b/>
                <w:bCs/>
                <w:sz w:val="16"/>
                <w:szCs w:val="16"/>
              </w:rPr>
            </w:pPr>
            <w:r w:rsidRPr="007F6C55">
              <w:rPr>
                <w:rFonts w:cstheme="minorHAnsi"/>
                <w:sz w:val="16"/>
                <w:szCs w:val="16"/>
              </w:rPr>
              <w:t>Average return each year</w:t>
            </w:r>
          </w:p>
        </w:tc>
        <w:tc>
          <w:tcPr>
            <w:tcW w:w="1787" w:type="dxa"/>
          </w:tcPr>
          <w:p w14:paraId="4E4B09AC" w14:textId="105D1955" w:rsidR="00363DC8" w:rsidRPr="001B4433" w:rsidRDefault="00F660E6" w:rsidP="0003274B">
            <w:pPr>
              <w:jc w:val="center"/>
              <w:rPr>
                <w:sz w:val="16"/>
                <w:szCs w:val="16"/>
              </w:rPr>
            </w:pPr>
            <w:r>
              <w:rPr>
                <w:sz w:val="16"/>
                <w:szCs w:val="16"/>
              </w:rPr>
              <w:t xml:space="preserve">6.55 </w:t>
            </w:r>
            <w:r w:rsidR="00363DC8" w:rsidRPr="001B4433">
              <w:rPr>
                <w:sz w:val="16"/>
                <w:szCs w:val="16"/>
              </w:rPr>
              <w:t>%</w:t>
            </w:r>
          </w:p>
        </w:tc>
        <w:tc>
          <w:tcPr>
            <w:tcW w:w="1870" w:type="dxa"/>
          </w:tcPr>
          <w:p w14:paraId="2FBEE998" w14:textId="39FA8A6D" w:rsidR="00363DC8" w:rsidRPr="001B4433" w:rsidRDefault="00F660E6" w:rsidP="0003274B">
            <w:pPr>
              <w:jc w:val="center"/>
              <w:rPr>
                <w:sz w:val="16"/>
                <w:szCs w:val="16"/>
              </w:rPr>
            </w:pPr>
            <w:r>
              <w:rPr>
                <w:sz w:val="16"/>
                <w:szCs w:val="16"/>
              </w:rPr>
              <w:t xml:space="preserve">3.90 </w:t>
            </w:r>
            <w:r w:rsidR="00363DC8" w:rsidRPr="001B4433">
              <w:rPr>
                <w:sz w:val="16"/>
                <w:szCs w:val="16"/>
              </w:rPr>
              <w:t>%</w:t>
            </w:r>
          </w:p>
        </w:tc>
        <w:tc>
          <w:tcPr>
            <w:tcW w:w="1870" w:type="dxa"/>
          </w:tcPr>
          <w:p w14:paraId="4A144B74" w14:textId="681054EE" w:rsidR="00363DC8" w:rsidRPr="001B4433" w:rsidRDefault="00F660E6" w:rsidP="0003274B">
            <w:pPr>
              <w:jc w:val="center"/>
              <w:rPr>
                <w:sz w:val="16"/>
                <w:szCs w:val="16"/>
              </w:rPr>
            </w:pPr>
            <w:r>
              <w:rPr>
                <w:sz w:val="16"/>
                <w:szCs w:val="16"/>
              </w:rPr>
              <w:t xml:space="preserve">3.09 </w:t>
            </w:r>
            <w:r w:rsidR="00363DC8" w:rsidRPr="001B4433">
              <w:rPr>
                <w:sz w:val="16"/>
                <w:szCs w:val="16"/>
              </w:rPr>
              <w:t>%</w:t>
            </w:r>
          </w:p>
        </w:tc>
      </w:tr>
    </w:tbl>
    <w:p w14:paraId="0B7769C8" w14:textId="77777777" w:rsidR="00363DC8" w:rsidRPr="004B7A7D" w:rsidRDefault="00363DC8" w:rsidP="00363DC8">
      <w:pPr>
        <w:spacing w:after="0"/>
        <w:jc w:val="both"/>
        <w:rPr>
          <w:b/>
          <w:bCs/>
          <w:sz w:val="16"/>
          <w:szCs w:val="16"/>
        </w:rPr>
      </w:pPr>
    </w:p>
    <w:p w14:paraId="7F21E07D" w14:textId="77777777" w:rsidR="00363DC8" w:rsidRDefault="00363DC8" w:rsidP="00363DC8">
      <w:pPr>
        <w:spacing w:after="0"/>
        <w:jc w:val="both"/>
        <w:rPr>
          <w:sz w:val="16"/>
          <w:szCs w:val="16"/>
        </w:rPr>
        <w:sectPr w:rsidR="00363DC8" w:rsidSect="00F27400">
          <w:type w:val="continuous"/>
          <w:pgSz w:w="12240" w:h="15840"/>
          <w:pgMar w:top="1440" w:right="1440" w:bottom="1440" w:left="1440" w:header="720" w:footer="720" w:gutter="0"/>
          <w:cols w:space="720"/>
          <w:docGrid w:linePitch="360"/>
        </w:sectPr>
      </w:pPr>
    </w:p>
    <w:p w14:paraId="51AE1C83" w14:textId="615F5616" w:rsidR="00363DC8" w:rsidRDefault="00363DC8" w:rsidP="00363DC8">
      <w:pPr>
        <w:spacing w:after="0"/>
        <w:jc w:val="both"/>
        <w:rPr>
          <w:sz w:val="16"/>
          <w:szCs w:val="16"/>
        </w:rPr>
      </w:pPr>
      <w:r w:rsidRPr="004B7A7D">
        <w:rPr>
          <w:sz w:val="16"/>
          <w:szCs w:val="16"/>
        </w:rPr>
        <w:t xml:space="preserve">This table shows the money you might could get back over the </w:t>
      </w:r>
      <w:r w:rsidRPr="00F103CE">
        <w:rPr>
          <w:sz w:val="16"/>
          <w:szCs w:val="16"/>
        </w:rPr>
        <w:t>next 5 years</w:t>
      </w:r>
      <w:r w:rsidRPr="004B7A7D">
        <w:rPr>
          <w:sz w:val="16"/>
          <w:szCs w:val="16"/>
        </w:rPr>
        <w:t xml:space="preserve">, under different scenarios, assuming that you invest </w:t>
      </w:r>
      <w:r>
        <w:rPr>
          <w:sz w:val="16"/>
          <w:szCs w:val="16"/>
        </w:rPr>
        <w:t xml:space="preserve">EUR </w:t>
      </w:r>
      <w:r w:rsidR="00F103CE">
        <w:rPr>
          <w:sz w:val="16"/>
          <w:szCs w:val="16"/>
        </w:rPr>
        <w:t>10,000</w:t>
      </w:r>
      <w:r w:rsidRPr="004B7A7D">
        <w:rPr>
          <w:sz w:val="16"/>
          <w:szCs w:val="16"/>
        </w:rPr>
        <w:t xml:space="preserve">. The scenarios shown illustrate how your investment could perform. You can compare them with the scenarios of other </w:t>
      </w:r>
      <w:r>
        <w:rPr>
          <w:sz w:val="16"/>
          <w:szCs w:val="16"/>
        </w:rPr>
        <w:t>p</w:t>
      </w:r>
      <w:r w:rsidRPr="004B7A7D">
        <w:rPr>
          <w:sz w:val="16"/>
          <w:szCs w:val="16"/>
        </w:rPr>
        <w:t xml:space="preserve">roducts. The scenarios presented are an estimate of future performance based on evidence from the past on how the value of this investment varies, and are not an exact indicator. What you get will vary depending on how the market performs and how long you keep the </w:t>
      </w:r>
      <w:r>
        <w:rPr>
          <w:sz w:val="16"/>
          <w:szCs w:val="16"/>
        </w:rPr>
        <w:t>p</w:t>
      </w:r>
      <w:r w:rsidRPr="004B7A7D">
        <w:rPr>
          <w:sz w:val="16"/>
          <w:szCs w:val="16"/>
        </w:rPr>
        <w:t xml:space="preserve">roduct. The stress scenario shows what you might get back in extreme market circumstances, and it does not take into account the situation where we are not able to pay you. The figures shown include all the costs of the </w:t>
      </w:r>
      <w:r>
        <w:rPr>
          <w:sz w:val="16"/>
          <w:szCs w:val="16"/>
        </w:rPr>
        <w:t>p</w:t>
      </w:r>
      <w:r w:rsidRPr="004B7A7D">
        <w:rPr>
          <w:sz w:val="16"/>
          <w:szCs w:val="16"/>
        </w:rPr>
        <w:t>roduct itself, but may not include all the costs that you pay to your advisor or distributor. The figures do not take into account your personal tax situation, which may also affect how much you get back.</w:t>
      </w:r>
      <w:r>
        <w:rPr>
          <w:sz w:val="16"/>
          <w:szCs w:val="16"/>
        </w:rPr>
        <w:t xml:space="preserve"> Whilst the above estimates reflect an analysis of what may happen to portfolio returns under various scenarios, the product may be affected by several other risk factors and y</w:t>
      </w:r>
      <w:r w:rsidRPr="0071131F">
        <w:rPr>
          <w:sz w:val="16"/>
          <w:szCs w:val="16"/>
        </w:rPr>
        <w:t>our maximum loss would be that you will lose all your investment</w:t>
      </w:r>
      <w:r>
        <w:rPr>
          <w:sz w:val="16"/>
          <w:szCs w:val="16"/>
        </w:rPr>
        <w:t>. Please refer to the prospectus for a more detailed explanation of risks.</w:t>
      </w:r>
    </w:p>
    <w:p w14:paraId="1F88A63B" w14:textId="77777777" w:rsidR="00363DC8" w:rsidRDefault="00363DC8" w:rsidP="00363DC8">
      <w:pPr>
        <w:spacing w:after="0"/>
        <w:jc w:val="both"/>
        <w:rPr>
          <w:sz w:val="16"/>
          <w:szCs w:val="16"/>
        </w:rPr>
        <w:sectPr w:rsidR="00363DC8" w:rsidSect="00CE7CDC">
          <w:type w:val="continuous"/>
          <w:pgSz w:w="12240" w:h="15840"/>
          <w:pgMar w:top="1440" w:right="1440" w:bottom="1440" w:left="1440" w:header="720" w:footer="720" w:gutter="0"/>
          <w:cols w:space="720"/>
          <w:docGrid w:linePitch="360"/>
        </w:sectPr>
      </w:pPr>
    </w:p>
    <w:p w14:paraId="585DFAB3" w14:textId="77777777" w:rsidR="00363DC8" w:rsidRDefault="00363DC8" w:rsidP="00363DC8">
      <w:pPr>
        <w:spacing w:after="0"/>
        <w:jc w:val="both"/>
        <w:rPr>
          <w:sz w:val="16"/>
          <w:szCs w:val="16"/>
        </w:rPr>
      </w:pPr>
    </w:p>
    <w:p w14:paraId="286799FE" w14:textId="77777777" w:rsidR="00363DC8" w:rsidRPr="004B7A7D" w:rsidRDefault="00363DC8" w:rsidP="00363DC8">
      <w:pPr>
        <w:spacing w:after="0"/>
        <w:jc w:val="both"/>
        <w:rPr>
          <w:sz w:val="16"/>
          <w:szCs w:val="16"/>
        </w:rPr>
      </w:pPr>
      <w:r w:rsidRPr="004B7A7D">
        <w:rPr>
          <w:sz w:val="16"/>
          <w:szCs w:val="16"/>
        </w:rPr>
        <w:t xml:space="preserve">WHAT HAPPENS IF </w:t>
      </w:r>
      <w:r>
        <w:rPr>
          <w:sz w:val="16"/>
          <w:szCs w:val="16"/>
        </w:rPr>
        <w:t xml:space="preserve">LIBERO INTERNATIONAL SICAV PLC </w:t>
      </w:r>
      <w:r w:rsidRPr="004B7A7D">
        <w:rPr>
          <w:sz w:val="16"/>
          <w:szCs w:val="16"/>
        </w:rPr>
        <w:t>IS UNABLE TO PAY OUT?</w:t>
      </w:r>
    </w:p>
    <w:p w14:paraId="298B6D82" w14:textId="77777777" w:rsidR="00363DC8" w:rsidRDefault="00363DC8" w:rsidP="00363DC8">
      <w:pPr>
        <w:spacing w:after="0"/>
        <w:jc w:val="both"/>
        <w:rPr>
          <w:sz w:val="16"/>
          <w:szCs w:val="16"/>
        </w:rPr>
        <w:sectPr w:rsidR="00363DC8"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010580ED" wp14:editId="4B2FB121">
                <wp:extent cx="5943600" cy="20320"/>
                <wp:effectExtent l="0" t="0" r="19050" b="36830"/>
                <wp:docPr id="5" name="Straight Connector 5"/>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85DC1A6"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64F4CB99" w14:textId="77777777" w:rsidR="00363DC8" w:rsidRDefault="00363DC8" w:rsidP="00363DC8">
      <w:pPr>
        <w:spacing w:after="0"/>
        <w:jc w:val="both"/>
        <w:rPr>
          <w:sz w:val="16"/>
          <w:szCs w:val="16"/>
        </w:rPr>
        <w:sectPr w:rsidR="00363DC8" w:rsidSect="00CE7CDC">
          <w:type w:val="continuous"/>
          <w:pgSz w:w="12240" w:h="15840"/>
          <w:pgMar w:top="1440" w:right="1440" w:bottom="1440" w:left="1440" w:header="720" w:footer="720" w:gutter="0"/>
          <w:cols w:space="720"/>
          <w:docGrid w:linePitch="360"/>
        </w:sectPr>
      </w:pPr>
      <w:r w:rsidRPr="00343273">
        <w:rPr>
          <w:sz w:val="16"/>
          <w:szCs w:val="16"/>
        </w:rPr>
        <w:t>You are exposed to the risk that the issuer might not be able to meet its obligations in connection with the product for instance in the event the issuer becomes insolvent or defaults on its obligations (including payment obligations). This may adversely affect the value of the product and could lead to you losing some or all of your investment in the product.</w:t>
      </w:r>
    </w:p>
    <w:p w14:paraId="1E338F57" w14:textId="77777777" w:rsidR="00363DC8" w:rsidRDefault="00363DC8" w:rsidP="00363DC8">
      <w:pPr>
        <w:spacing w:after="0"/>
        <w:jc w:val="both"/>
        <w:rPr>
          <w:sz w:val="16"/>
          <w:szCs w:val="16"/>
        </w:rPr>
      </w:pPr>
    </w:p>
    <w:p w14:paraId="3B0EBF84" w14:textId="77777777" w:rsidR="00363DC8" w:rsidRPr="004B7A7D" w:rsidRDefault="00363DC8" w:rsidP="00363DC8">
      <w:pPr>
        <w:spacing w:after="0"/>
        <w:jc w:val="both"/>
        <w:rPr>
          <w:sz w:val="16"/>
          <w:szCs w:val="16"/>
        </w:rPr>
      </w:pPr>
      <w:r w:rsidRPr="004B7A7D">
        <w:rPr>
          <w:sz w:val="16"/>
          <w:szCs w:val="16"/>
        </w:rPr>
        <w:t>WHAT ARE THE COSTS?</w:t>
      </w:r>
    </w:p>
    <w:p w14:paraId="3FD60CA9" w14:textId="77777777" w:rsidR="00363DC8" w:rsidRDefault="00363DC8" w:rsidP="00363DC8">
      <w:pPr>
        <w:spacing w:after="0"/>
        <w:jc w:val="both"/>
        <w:rPr>
          <w:b/>
          <w:bCs/>
          <w:sz w:val="16"/>
          <w:szCs w:val="16"/>
        </w:rPr>
        <w:sectPr w:rsidR="00363DC8" w:rsidSect="00F27400">
          <w:type w:val="continuous"/>
          <w:pgSz w:w="12240" w:h="15840"/>
          <w:pgMar w:top="1440" w:right="1440" w:bottom="1440" w:left="1440" w:header="720" w:footer="720" w:gutter="0"/>
          <w:cols w:space="720"/>
          <w:docGrid w:linePitch="360"/>
        </w:sectPr>
      </w:pPr>
    </w:p>
    <w:p w14:paraId="11B083D8" w14:textId="77777777" w:rsidR="00363DC8" w:rsidRDefault="00363DC8" w:rsidP="00363DC8">
      <w:pPr>
        <w:spacing w:after="0"/>
        <w:jc w:val="both"/>
        <w:rPr>
          <w:b/>
          <w:bCs/>
          <w:sz w:val="16"/>
          <w:szCs w:val="16"/>
        </w:rPr>
        <w:sectPr w:rsidR="00363DC8" w:rsidSect="00CE7CDC">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7FAB1F32" wp14:editId="62D8AF28">
                <wp:extent cx="5943600" cy="20320"/>
                <wp:effectExtent l="0" t="0" r="19050" b="36830"/>
                <wp:docPr id="6" name="Straight Connector 6"/>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AD655AE"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3BBE9DC8" w14:textId="77777777" w:rsidR="00363DC8" w:rsidRDefault="00363DC8" w:rsidP="00363DC8">
      <w:pPr>
        <w:spacing w:after="0"/>
        <w:jc w:val="both"/>
        <w:rPr>
          <w:b/>
          <w:bCs/>
          <w:sz w:val="16"/>
          <w:szCs w:val="16"/>
        </w:rPr>
      </w:pPr>
      <w:r w:rsidRPr="00DF3BD6">
        <w:rPr>
          <w:b/>
          <w:bCs/>
          <w:sz w:val="16"/>
          <w:szCs w:val="16"/>
        </w:rPr>
        <w:t>Costs over time</w:t>
      </w:r>
    </w:p>
    <w:p w14:paraId="1AB7D0DC" w14:textId="77777777" w:rsidR="00363DC8" w:rsidRPr="004B7A7D" w:rsidRDefault="00363DC8" w:rsidP="00363DC8">
      <w:pPr>
        <w:spacing w:after="0"/>
        <w:jc w:val="both"/>
        <w:rPr>
          <w:sz w:val="16"/>
          <w:szCs w:val="16"/>
        </w:rPr>
      </w:pPr>
    </w:p>
    <w:p w14:paraId="18D43B2D" w14:textId="0058E1F0" w:rsidR="00363DC8" w:rsidRDefault="00363DC8" w:rsidP="00363DC8">
      <w:pPr>
        <w:spacing w:after="0"/>
        <w:jc w:val="both"/>
        <w:rPr>
          <w:sz w:val="16"/>
          <w:szCs w:val="16"/>
        </w:rPr>
      </w:pPr>
      <w:r w:rsidRPr="004B7A7D">
        <w:rPr>
          <w:sz w:val="16"/>
          <w:szCs w:val="16"/>
        </w:rPr>
        <w:t xml:space="preserve">The Reduction in Yield (RIY) show what impact the total costs you pay will have on the investment return you might get. The total costs take into account one-off, ongoing and incidental costs. The amounts shown here are the cumulative costs of </w:t>
      </w:r>
      <w:r>
        <w:rPr>
          <w:sz w:val="16"/>
          <w:szCs w:val="16"/>
        </w:rPr>
        <w:t xml:space="preserve">both </w:t>
      </w:r>
      <w:r w:rsidRPr="004B7A7D">
        <w:rPr>
          <w:sz w:val="16"/>
          <w:szCs w:val="16"/>
        </w:rPr>
        <w:t>the product itself</w:t>
      </w:r>
      <w:r>
        <w:rPr>
          <w:sz w:val="16"/>
          <w:szCs w:val="16"/>
        </w:rPr>
        <w:t xml:space="preserve"> and the underlying managers</w:t>
      </w:r>
      <w:r w:rsidRPr="004B7A7D">
        <w:rPr>
          <w:sz w:val="16"/>
          <w:szCs w:val="16"/>
        </w:rPr>
        <w:t xml:space="preserve">, for three different holding periods. They include potential early exit penalties. The figures assume you invest </w:t>
      </w:r>
      <w:r w:rsidRPr="00B12060">
        <w:rPr>
          <w:sz w:val="16"/>
          <w:szCs w:val="16"/>
        </w:rPr>
        <w:t xml:space="preserve">EUR </w:t>
      </w:r>
      <w:r w:rsidR="00F103CE">
        <w:rPr>
          <w:sz w:val="16"/>
          <w:szCs w:val="16"/>
        </w:rPr>
        <w:t>10,000</w:t>
      </w:r>
      <w:r w:rsidRPr="004B7A7D">
        <w:rPr>
          <w:sz w:val="16"/>
          <w:szCs w:val="16"/>
        </w:rPr>
        <w:t>. The figures are estimates and may change in the future. The person selling you or advising you about this product may charge you other costs. If so, this person will provide you with information about these costs, and show you the impact that all costs will have on your investment over time.</w:t>
      </w:r>
    </w:p>
    <w:p w14:paraId="20EEEA1E" w14:textId="77777777" w:rsidR="00363DC8" w:rsidRDefault="00363DC8" w:rsidP="00363DC8">
      <w:pPr>
        <w:spacing w:after="0"/>
        <w:jc w:val="both"/>
        <w:rPr>
          <w:sz w:val="16"/>
          <w:szCs w:val="16"/>
        </w:rPr>
        <w:sectPr w:rsidR="00363DC8" w:rsidSect="00CE7CDC">
          <w:type w:val="continuous"/>
          <w:pgSz w:w="12240" w:h="15840"/>
          <w:pgMar w:top="1440" w:right="1440" w:bottom="1440" w:left="1440" w:header="720" w:footer="720" w:gutter="0"/>
          <w:cols w:space="720"/>
          <w:docGrid w:linePitch="360"/>
        </w:sectPr>
      </w:pPr>
    </w:p>
    <w:p w14:paraId="0898404B" w14:textId="77777777" w:rsidR="00363DC8" w:rsidRDefault="00363DC8" w:rsidP="00363DC8">
      <w:pPr>
        <w:spacing w:after="0"/>
        <w:jc w:val="both"/>
        <w:rPr>
          <w:sz w:val="16"/>
          <w:szCs w:val="16"/>
        </w:rPr>
      </w:pPr>
    </w:p>
    <w:tbl>
      <w:tblPr>
        <w:tblStyle w:val="TableGrid"/>
        <w:tblW w:w="0" w:type="auto"/>
        <w:tblLook w:val="04A0" w:firstRow="1" w:lastRow="0" w:firstColumn="1" w:lastColumn="0" w:noHBand="0" w:noVBand="1"/>
      </w:tblPr>
      <w:tblGrid>
        <w:gridCol w:w="2337"/>
        <w:gridCol w:w="2337"/>
        <w:gridCol w:w="2338"/>
        <w:gridCol w:w="2338"/>
      </w:tblGrid>
      <w:tr w:rsidR="00363DC8" w14:paraId="55017E2E" w14:textId="77777777" w:rsidTr="0003274B">
        <w:tc>
          <w:tcPr>
            <w:tcW w:w="2337" w:type="dxa"/>
          </w:tcPr>
          <w:p w14:paraId="53E723FC" w14:textId="66C69008" w:rsidR="00363DC8" w:rsidRDefault="00363DC8" w:rsidP="0003274B">
            <w:pPr>
              <w:jc w:val="both"/>
              <w:rPr>
                <w:sz w:val="16"/>
                <w:szCs w:val="16"/>
              </w:rPr>
            </w:pPr>
            <w:r>
              <w:rPr>
                <w:sz w:val="16"/>
                <w:szCs w:val="16"/>
              </w:rPr>
              <w:t xml:space="preserve">Investment EUR </w:t>
            </w:r>
            <w:r w:rsidR="00F103CE">
              <w:rPr>
                <w:sz w:val="16"/>
                <w:szCs w:val="16"/>
              </w:rPr>
              <w:t>10,000</w:t>
            </w:r>
          </w:p>
        </w:tc>
        <w:tc>
          <w:tcPr>
            <w:tcW w:w="2337" w:type="dxa"/>
            <w:vMerge w:val="restart"/>
            <w:vAlign w:val="center"/>
          </w:tcPr>
          <w:p w14:paraId="655C50DD" w14:textId="77777777" w:rsidR="00363DC8" w:rsidRDefault="00363DC8" w:rsidP="0003274B">
            <w:pPr>
              <w:jc w:val="both"/>
              <w:rPr>
                <w:sz w:val="16"/>
                <w:szCs w:val="16"/>
              </w:rPr>
            </w:pPr>
            <w:r w:rsidRPr="003D6436">
              <w:rPr>
                <w:sz w:val="16"/>
                <w:szCs w:val="16"/>
              </w:rPr>
              <w:t>if you cash in after 1 year</w:t>
            </w:r>
          </w:p>
        </w:tc>
        <w:tc>
          <w:tcPr>
            <w:tcW w:w="2338" w:type="dxa"/>
            <w:vMerge w:val="restart"/>
            <w:vAlign w:val="center"/>
          </w:tcPr>
          <w:p w14:paraId="219711B8" w14:textId="77777777" w:rsidR="00363DC8" w:rsidRPr="0030303E" w:rsidRDefault="00363DC8" w:rsidP="0003274B">
            <w:pPr>
              <w:jc w:val="both"/>
              <w:rPr>
                <w:sz w:val="16"/>
                <w:szCs w:val="16"/>
              </w:rPr>
            </w:pPr>
            <w:r w:rsidRPr="0030303E">
              <w:rPr>
                <w:sz w:val="16"/>
                <w:szCs w:val="16"/>
              </w:rPr>
              <w:t>if you cash in after 3 years</w:t>
            </w:r>
          </w:p>
        </w:tc>
        <w:tc>
          <w:tcPr>
            <w:tcW w:w="2338" w:type="dxa"/>
            <w:vMerge w:val="restart"/>
          </w:tcPr>
          <w:p w14:paraId="3B8F74BE" w14:textId="7501B871" w:rsidR="00363DC8" w:rsidRPr="0030303E" w:rsidRDefault="00363DC8" w:rsidP="0003274B">
            <w:pPr>
              <w:jc w:val="both"/>
              <w:rPr>
                <w:sz w:val="16"/>
                <w:szCs w:val="16"/>
              </w:rPr>
            </w:pPr>
            <w:r w:rsidRPr="0030303E">
              <w:rPr>
                <w:sz w:val="16"/>
                <w:szCs w:val="16"/>
              </w:rPr>
              <w:t xml:space="preserve">if you cash in </w:t>
            </w:r>
            <w:r w:rsidRPr="00F103CE">
              <w:rPr>
                <w:sz w:val="16"/>
                <w:szCs w:val="16"/>
              </w:rPr>
              <w:t>after 5 years</w:t>
            </w:r>
          </w:p>
          <w:p w14:paraId="097E8002" w14:textId="77777777" w:rsidR="00363DC8" w:rsidRPr="0030303E" w:rsidRDefault="00363DC8" w:rsidP="0003274B">
            <w:pPr>
              <w:jc w:val="both"/>
              <w:rPr>
                <w:sz w:val="16"/>
                <w:szCs w:val="16"/>
              </w:rPr>
            </w:pPr>
            <w:r w:rsidRPr="0030303E">
              <w:rPr>
                <w:sz w:val="16"/>
                <w:szCs w:val="16"/>
              </w:rPr>
              <w:t>recommended holding period</w:t>
            </w:r>
          </w:p>
        </w:tc>
      </w:tr>
      <w:tr w:rsidR="00363DC8" w14:paraId="5E74C6AB" w14:textId="77777777" w:rsidTr="0003274B">
        <w:tc>
          <w:tcPr>
            <w:tcW w:w="2337" w:type="dxa"/>
          </w:tcPr>
          <w:p w14:paraId="3552800E" w14:textId="77777777" w:rsidR="00363DC8" w:rsidRDefault="00363DC8" w:rsidP="0003274B">
            <w:pPr>
              <w:jc w:val="both"/>
              <w:rPr>
                <w:sz w:val="16"/>
                <w:szCs w:val="16"/>
              </w:rPr>
            </w:pPr>
            <w:r>
              <w:rPr>
                <w:sz w:val="16"/>
                <w:szCs w:val="16"/>
              </w:rPr>
              <w:t>Scenarios</w:t>
            </w:r>
          </w:p>
        </w:tc>
        <w:tc>
          <w:tcPr>
            <w:tcW w:w="2337" w:type="dxa"/>
            <w:vMerge/>
          </w:tcPr>
          <w:p w14:paraId="39076EA8" w14:textId="77777777" w:rsidR="00363DC8" w:rsidRDefault="00363DC8" w:rsidP="0003274B">
            <w:pPr>
              <w:jc w:val="both"/>
              <w:rPr>
                <w:sz w:val="16"/>
                <w:szCs w:val="16"/>
              </w:rPr>
            </w:pPr>
          </w:p>
        </w:tc>
        <w:tc>
          <w:tcPr>
            <w:tcW w:w="2338" w:type="dxa"/>
            <w:vMerge/>
          </w:tcPr>
          <w:p w14:paraId="6D2CE723" w14:textId="77777777" w:rsidR="00363DC8" w:rsidRPr="0030303E" w:rsidRDefault="00363DC8" w:rsidP="0003274B">
            <w:pPr>
              <w:jc w:val="both"/>
              <w:rPr>
                <w:sz w:val="16"/>
                <w:szCs w:val="16"/>
              </w:rPr>
            </w:pPr>
          </w:p>
        </w:tc>
        <w:tc>
          <w:tcPr>
            <w:tcW w:w="2338" w:type="dxa"/>
            <w:vMerge/>
          </w:tcPr>
          <w:p w14:paraId="6EAC2E2F" w14:textId="77777777" w:rsidR="00363DC8" w:rsidRPr="0030303E" w:rsidRDefault="00363DC8" w:rsidP="0003274B">
            <w:pPr>
              <w:jc w:val="both"/>
              <w:rPr>
                <w:sz w:val="16"/>
                <w:szCs w:val="16"/>
              </w:rPr>
            </w:pPr>
          </w:p>
        </w:tc>
      </w:tr>
      <w:tr w:rsidR="00363DC8" w14:paraId="5608B05E" w14:textId="77777777" w:rsidTr="0003274B">
        <w:tc>
          <w:tcPr>
            <w:tcW w:w="2337" w:type="dxa"/>
          </w:tcPr>
          <w:p w14:paraId="40F6893B" w14:textId="77777777" w:rsidR="00363DC8" w:rsidRDefault="00363DC8" w:rsidP="0003274B">
            <w:pPr>
              <w:jc w:val="both"/>
              <w:rPr>
                <w:sz w:val="16"/>
                <w:szCs w:val="16"/>
              </w:rPr>
            </w:pPr>
            <w:r>
              <w:rPr>
                <w:sz w:val="16"/>
                <w:szCs w:val="16"/>
              </w:rPr>
              <w:t>Total Costs</w:t>
            </w:r>
          </w:p>
        </w:tc>
        <w:tc>
          <w:tcPr>
            <w:tcW w:w="2337" w:type="dxa"/>
          </w:tcPr>
          <w:p w14:paraId="4CFB609E" w14:textId="66BD1E58" w:rsidR="00363DC8" w:rsidRDefault="00363DC8" w:rsidP="0003274B">
            <w:pPr>
              <w:jc w:val="center"/>
              <w:rPr>
                <w:sz w:val="16"/>
                <w:szCs w:val="16"/>
              </w:rPr>
            </w:pPr>
            <w:r>
              <w:rPr>
                <w:sz w:val="16"/>
                <w:szCs w:val="16"/>
              </w:rPr>
              <w:t>EUR</w:t>
            </w:r>
            <w:r w:rsidR="008442C6">
              <w:rPr>
                <w:sz w:val="16"/>
                <w:szCs w:val="16"/>
              </w:rPr>
              <w:t xml:space="preserve"> 741</w:t>
            </w:r>
          </w:p>
        </w:tc>
        <w:tc>
          <w:tcPr>
            <w:tcW w:w="2338" w:type="dxa"/>
          </w:tcPr>
          <w:p w14:paraId="62B6727A" w14:textId="3806B320" w:rsidR="00363DC8" w:rsidRPr="0030303E" w:rsidRDefault="00363DC8" w:rsidP="0003274B">
            <w:pPr>
              <w:jc w:val="center"/>
              <w:rPr>
                <w:sz w:val="16"/>
                <w:szCs w:val="16"/>
              </w:rPr>
            </w:pPr>
            <w:r>
              <w:rPr>
                <w:sz w:val="16"/>
                <w:szCs w:val="16"/>
              </w:rPr>
              <w:t>EUR</w:t>
            </w:r>
            <w:r w:rsidR="008442C6">
              <w:rPr>
                <w:sz w:val="16"/>
                <w:szCs w:val="16"/>
              </w:rPr>
              <w:t xml:space="preserve"> 2,076</w:t>
            </w:r>
          </w:p>
        </w:tc>
        <w:tc>
          <w:tcPr>
            <w:tcW w:w="2338" w:type="dxa"/>
          </w:tcPr>
          <w:p w14:paraId="0C528D70" w14:textId="365E129B" w:rsidR="00363DC8" w:rsidRPr="0030303E" w:rsidRDefault="00363DC8" w:rsidP="0003274B">
            <w:pPr>
              <w:jc w:val="center"/>
              <w:rPr>
                <w:sz w:val="16"/>
                <w:szCs w:val="16"/>
              </w:rPr>
            </w:pPr>
            <w:r>
              <w:rPr>
                <w:sz w:val="16"/>
                <w:szCs w:val="16"/>
              </w:rPr>
              <w:t>EUR</w:t>
            </w:r>
            <w:r w:rsidR="00F660E6">
              <w:rPr>
                <w:sz w:val="16"/>
                <w:szCs w:val="16"/>
              </w:rPr>
              <w:t xml:space="preserve"> 3,228</w:t>
            </w:r>
          </w:p>
        </w:tc>
      </w:tr>
      <w:tr w:rsidR="00363DC8" w14:paraId="1B71CAE1" w14:textId="77777777" w:rsidTr="0003274B">
        <w:tc>
          <w:tcPr>
            <w:tcW w:w="2337" w:type="dxa"/>
          </w:tcPr>
          <w:p w14:paraId="2662E635" w14:textId="77777777" w:rsidR="00363DC8" w:rsidRDefault="00363DC8" w:rsidP="0003274B">
            <w:pPr>
              <w:jc w:val="both"/>
              <w:rPr>
                <w:sz w:val="16"/>
                <w:szCs w:val="16"/>
              </w:rPr>
            </w:pPr>
            <w:r w:rsidRPr="003D6436">
              <w:rPr>
                <w:sz w:val="16"/>
                <w:szCs w:val="16"/>
              </w:rPr>
              <w:t>Impact on return (RIY) per year</w:t>
            </w:r>
          </w:p>
        </w:tc>
        <w:tc>
          <w:tcPr>
            <w:tcW w:w="2337" w:type="dxa"/>
          </w:tcPr>
          <w:p w14:paraId="3B2653D9" w14:textId="55CD70C3" w:rsidR="00363DC8" w:rsidRDefault="008442C6" w:rsidP="0003274B">
            <w:pPr>
              <w:jc w:val="center"/>
              <w:rPr>
                <w:sz w:val="16"/>
                <w:szCs w:val="16"/>
              </w:rPr>
            </w:pPr>
            <w:r>
              <w:rPr>
                <w:sz w:val="16"/>
                <w:szCs w:val="16"/>
              </w:rPr>
              <w:t xml:space="preserve">7.41 </w:t>
            </w:r>
            <w:r w:rsidR="00363DC8">
              <w:rPr>
                <w:sz w:val="16"/>
                <w:szCs w:val="16"/>
              </w:rPr>
              <w:t>%</w:t>
            </w:r>
          </w:p>
        </w:tc>
        <w:tc>
          <w:tcPr>
            <w:tcW w:w="2338" w:type="dxa"/>
          </w:tcPr>
          <w:p w14:paraId="486B8871" w14:textId="55E8F777" w:rsidR="00363DC8" w:rsidRPr="0030303E" w:rsidRDefault="00F660E6" w:rsidP="0003274B">
            <w:pPr>
              <w:jc w:val="center"/>
              <w:rPr>
                <w:sz w:val="16"/>
                <w:szCs w:val="16"/>
              </w:rPr>
            </w:pPr>
            <w:r>
              <w:rPr>
                <w:sz w:val="16"/>
                <w:szCs w:val="16"/>
              </w:rPr>
              <w:t xml:space="preserve">7.41 </w:t>
            </w:r>
            <w:r w:rsidR="00363DC8">
              <w:rPr>
                <w:sz w:val="16"/>
                <w:szCs w:val="16"/>
              </w:rPr>
              <w:t>%</w:t>
            </w:r>
          </w:p>
        </w:tc>
        <w:tc>
          <w:tcPr>
            <w:tcW w:w="2338" w:type="dxa"/>
          </w:tcPr>
          <w:p w14:paraId="605E445F" w14:textId="49589961" w:rsidR="00363DC8" w:rsidRPr="0030303E" w:rsidRDefault="00F660E6" w:rsidP="0003274B">
            <w:pPr>
              <w:jc w:val="center"/>
              <w:rPr>
                <w:sz w:val="16"/>
                <w:szCs w:val="16"/>
              </w:rPr>
            </w:pPr>
            <w:r>
              <w:rPr>
                <w:sz w:val="16"/>
                <w:szCs w:val="16"/>
              </w:rPr>
              <w:t xml:space="preserve">7.41 </w:t>
            </w:r>
            <w:r w:rsidR="00363DC8">
              <w:rPr>
                <w:sz w:val="16"/>
                <w:szCs w:val="16"/>
              </w:rPr>
              <w:t>%</w:t>
            </w:r>
          </w:p>
        </w:tc>
      </w:tr>
    </w:tbl>
    <w:p w14:paraId="7780CF75" w14:textId="77777777" w:rsidR="00363DC8" w:rsidRDefault="00363DC8" w:rsidP="00363DC8">
      <w:pPr>
        <w:spacing w:after="0"/>
        <w:jc w:val="both"/>
        <w:rPr>
          <w:sz w:val="16"/>
          <w:szCs w:val="16"/>
        </w:rPr>
      </w:pPr>
    </w:p>
    <w:p w14:paraId="4EC561E8" w14:textId="3D426B9B" w:rsidR="008D47BD" w:rsidRDefault="008D47BD" w:rsidP="008D47BD">
      <w:pPr>
        <w:spacing w:after="0"/>
        <w:rPr>
          <w:b/>
          <w:bCs/>
          <w:sz w:val="16"/>
          <w:szCs w:val="16"/>
        </w:rPr>
      </w:pPr>
      <w:r w:rsidRPr="00DF3BD6">
        <w:rPr>
          <w:b/>
          <w:bCs/>
          <w:sz w:val="16"/>
          <w:szCs w:val="16"/>
        </w:rPr>
        <w:t>Composition of Costs</w:t>
      </w:r>
    </w:p>
    <w:p w14:paraId="3826EDD4" w14:textId="487EB3A9" w:rsidR="009D3BBC" w:rsidRDefault="009D3BBC" w:rsidP="008D47BD">
      <w:pPr>
        <w:spacing w:after="0"/>
        <w:rPr>
          <w:b/>
          <w:bCs/>
          <w:sz w:val="16"/>
          <w:szCs w:val="16"/>
        </w:rPr>
      </w:pPr>
    </w:p>
    <w:p w14:paraId="230D6CF3" w14:textId="368ACA05" w:rsidR="009D3BBC" w:rsidRPr="00415D5F" w:rsidRDefault="009D3BBC" w:rsidP="009D3BBC">
      <w:pPr>
        <w:spacing w:after="0"/>
        <w:jc w:val="both"/>
        <w:rPr>
          <w:rFonts w:ascii="CIDFont+F2" w:hAnsi="CIDFont+F2" w:cs="CIDFont+F2"/>
          <w:b/>
          <w:bCs/>
          <w:sz w:val="15"/>
          <w:szCs w:val="15"/>
        </w:rPr>
      </w:pPr>
      <w:bookmarkStart w:id="1" w:name="_Hlk127791940"/>
      <w:r w:rsidRPr="00BB5498">
        <w:rPr>
          <w:rFonts w:ascii="CIDFont+F1" w:hAnsi="CIDFont+F1" w:cs="CIDFont+F1"/>
          <w:b/>
          <w:bCs/>
          <w:sz w:val="15"/>
          <w:szCs w:val="15"/>
        </w:rPr>
        <w:t>The table below shows the impact each year of the different types of costs on the investment return you might get at the end of the recommended holding period and the meaning of the different cost categories. The</w:t>
      </w:r>
      <w:r w:rsidRPr="00BB5498">
        <w:rPr>
          <w:rFonts w:ascii="CIDFont+F2" w:hAnsi="CIDFont+F2" w:cs="CIDFont+F2"/>
          <w:b/>
          <w:bCs/>
          <w:sz w:val="15"/>
          <w:szCs w:val="15"/>
        </w:rPr>
        <w:t xml:space="preserve"> table shows the impact on return per year. We also assumed that </w:t>
      </w:r>
      <w:r>
        <w:rPr>
          <w:rFonts w:ascii="CIDFont+F2" w:hAnsi="CIDFont+F2" w:cs="CIDFont+F2"/>
          <w:b/>
          <w:bCs/>
          <w:sz w:val="15"/>
          <w:szCs w:val="15"/>
        </w:rPr>
        <w:t xml:space="preserve">EUR </w:t>
      </w:r>
      <w:r w:rsidRPr="00BB5498">
        <w:rPr>
          <w:rFonts w:ascii="CIDFont+F2" w:hAnsi="CIDFont+F2" w:cs="CIDFont+F2"/>
          <w:b/>
          <w:bCs/>
          <w:sz w:val="15"/>
          <w:szCs w:val="15"/>
        </w:rPr>
        <w:t xml:space="preserve">10,000 </w:t>
      </w:r>
      <w:r>
        <w:rPr>
          <w:rFonts w:ascii="CIDFont+F2" w:hAnsi="CIDFont+F2" w:cs="CIDFont+F2"/>
          <w:b/>
          <w:bCs/>
          <w:sz w:val="15"/>
          <w:szCs w:val="15"/>
        </w:rPr>
        <w:t xml:space="preserve"> </w:t>
      </w:r>
      <w:r w:rsidRPr="00BB5498">
        <w:rPr>
          <w:rFonts w:ascii="CIDFont+F2" w:hAnsi="CIDFont+F2" w:cs="CIDFont+F2"/>
          <w:b/>
          <w:bCs/>
          <w:sz w:val="15"/>
          <w:szCs w:val="15"/>
        </w:rPr>
        <w:t>is invested.</w:t>
      </w:r>
    </w:p>
    <w:tbl>
      <w:tblPr>
        <w:tblStyle w:val="TableGrid"/>
        <w:tblW w:w="9356" w:type="dxa"/>
        <w:tblLook w:val="04A0" w:firstRow="1" w:lastRow="0" w:firstColumn="1" w:lastColumn="0" w:noHBand="0" w:noVBand="1"/>
      </w:tblPr>
      <w:tblGrid>
        <w:gridCol w:w="1229"/>
        <w:gridCol w:w="1748"/>
        <w:gridCol w:w="4710"/>
        <w:gridCol w:w="1669"/>
      </w:tblGrid>
      <w:tr w:rsidR="009D3BBC" w:rsidRPr="00D125D5" w14:paraId="7C2403AC" w14:textId="77777777" w:rsidTr="009D2DDF">
        <w:trPr>
          <w:trHeight w:val="261"/>
        </w:trPr>
        <w:tc>
          <w:tcPr>
            <w:tcW w:w="1229" w:type="dxa"/>
            <w:tcBorders>
              <w:top w:val="nil"/>
              <w:left w:val="nil"/>
              <w:bottom w:val="single" w:sz="4" w:space="0" w:color="auto"/>
              <w:right w:val="nil"/>
            </w:tcBorders>
          </w:tcPr>
          <w:p w14:paraId="55195F86" w14:textId="77777777" w:rsidR="009D3BBC" w:rsidRPr="004B5E20" w:rsidRDefault="009D3BBC" w:rsidP="009D2DDF">
            <w:pPr>
              <w:jc w:val="both"/>
              <w:rPr>
                <w:b/>
                <w:bCs/>
                <w:sz w:val="16"/>
                <w:szCs w:val="16"/>
              </w:rPr>
            </w:pPr>
          </w:p>
        </w:tc>
        <w:tc>
          <w:tcPr>
            <w:tcW w:w="1748" w:type="dxa"/>
            <w:tcBorders>
              <w:top w:val="nil"/>
              <w:left w:val="nil"/>
              <w:bottom w:val="single" w:sz="4" w:space="0" w:color="auto"/>
              <w:right w:val="nil"/>
            </w:tcBorders>
          </w:tcPr>
          <w:p w14:paraId="497268D4" w14:textId="77777777" w:rsidR="009D3BBC" w:rsidRPr="00777E67" w:rsidRDefault="009D3BBC" w:rsidP="009D2DDF">
            <w:pPr>
              <w:jc w:val="both"/>
              <w:rPr>
                <w:sz w:val="16"/>
                <w:szCs w:val="16"/>
              </w:rPr>
            </w:pPr>
          </w:p>
        </w:tc>
        <w:tc>
          <w:tcPr>
            <w:tcW w:w="4710" w:type="dxa"/>
            <w:tcBorders>
              <w:top w:val="nil"/>
              <w:left w:val="nil"/>
              <w:bottom w:val="single" w:sz="4" w:space="0" w:color="auto"/>
              <w:right w:val="single" w:sz="4" w:space="0" w:color="auto"/>
            </w:tcBorders>
          </w:tcPr>
          <w:p w14:paraId="452C5BFD" w14:textId="77777777" w:rsidR="009D3BBC" w:rsidRDefault="009D3BBC" w:rsidP="009D2DDF">
            <w:pPr>
              <w:jc w:val="both"/>
              <w:rPr>
                <w:rFonts w:ascii="CIDFont+F1" w:hAnsi="CIDFont+F1" w:cs="CIDFont+F1"/>
                <w:sz w:val="15"/>
                <w:szCs w:val="15"/>
              </w:rPr>
            </w:pPr>
          </w:p>
        </w:tc>
        <w:tc>
          <w:tcPr>
            <w:tcW w:w="1669" w:type="dxa"/>
            <w:tcBorders>
              <w:left w:val="single" w:sz="4" w:space="0" w:color="auto"/>
            </w:tcBorders>
          </w:tcPr>
          <w:p w14:paraId="51D1E3FB" w14:textId="77777777" w:rsidR="009D3BBC" w:rsidRDefault="009D3BBC" w:rsidP="009D2DDF">
            <w:pPr>
              <w:jc w:val="both"/>
              <w:rPr>
                <w:sz w:val="16"/>
                <w:szCs w:val="16"/>
              </w:rPr>
            </w:pPr>
            <w:r>
              <w:rPr>
                <w:sz w:val="16"/>
                <w:szCs w:val="16"/>
              </w:rPr>
              <w:t>If you exit after 1 year</w:t>
            </w:r>
          </w:p>
        </w:tc>
      </w:tr>
      <w:tr w:rsidR="009D3BBC" w:rsidRPr="00D125D5" w14:paraId="66E5EAD6" w14:textId="77777777" w:rsidTr="009D2DDF">
        <w:trPr>
          <w:trHeight w:val="261"/>
        </w:trPr>
        <w:tc>
          <w:tcPr>
            <w:tcW w:w="1229" w:type="dxa"/>
            <w:vMerge w:val="restart"/>
            <w:tcBorders>
              <w:top w:val="single" w:sz="4" w:space="0" w:color="auto"/>
            </w:tcBorders>
          </w:tcPr>
          <w:p w14:paraId="0CADE87B" w14:textId="77777777" w:rsidR="009D3BBC" w:rsidRPr="004B5E20" w:rsidRDefault="009D3BBC" w:rsidP="009D2DDF">
            <w:pPr>
              <w:jc w:val="both"/>
              <w:rPr>
                <w:b/>
                <w:bCs/>
                <w:sz w:val="16"/>
                <w:szCs w:val="16"/>
              </w:rPr>
            </w:pPr>
            <w:r w:rsidRPr="004B5E20">
              <w:rPr>
                <w:b/>
                <w:bCs/>
                <w:sz w:val="16"/>
                <w:szCs w:val="16"/>
              </w:rPr>
              <w:t>One-Off Costs</w:t>
            </w:r>
            <w:r>
              <w:rPr>
                <w:b/>
                <w:bCs/>
                <w:sz w:val="16"/>
                <w:szCs w:val="16"/>
              </w:rPr>
              <w:t xml:space="preserve"> upon entry or exit</w:t>
            </w:r>
          </w:p>
          <w:p w14:paraId="06BC6811" w14:textId="77777777" w:rsidR="009D3BBC" w:rsidRPr="00777E67" w:rsidRDefault="009D3BBC" w:rsidP="009D2DDF">
            <w:pPr>
              <w:jc w:val="both"/>
              <w:rPr>
                <w:sz w:val="16"/>
                <w:szCs w:val="16"/>
              </w:rPr>
            </w:pPr>
          </w:p>
        </w:tc>
        <w:tc>
          <w:tcPr>
            <w:tcW w:w="1748" w:type="dxa"/>
            <w:tcBorders>
              <w:top w:val="single" w:sz="4" w:space="0" w:color="auto"/>
            </w:tcBorders>
          </w:tcPr>
          <w:p w14:paraId="04F0FC31" w14:textId="77777777" w:rsidR="009D3BBC" w:rsidRPr="00777E67" w:rsidRDefault="009D3BBC" w:rsidP="009D2DDF">
            <w:pPr>
              <w:jc w:val="both"/>
              <w:rPr>
                <w:sz w:val="16"/>
                <w:szCs w:val="16"/>
              </w:rPr>
            </w:pPr>
            <w:r w:rsidRPr="00777E67">
              <w:rPr>
                <w:sz w:val="16"/>
                <w:szCs w:val="16"/>
              </w:rPr>
              <w:t>Entry Costs</w:t>
            </w:r>
          </w:p>
        </w:tc>
        <w:tc>
          <w:tcPr>
            <w:tcW w:w="4710" w:type="dxa"/>
            <w:tcBorders>
              <w:top w:val="single" w:sz="4" w:space="0" w:color="auto"/>
            </w:tcBorders>
          </w:tcPr>
          <w:p w14:paraId="2C079721" w14:textId="77777777" w:rsidR="009D3BBC" w:rsidRPr="00D125D5" w:rsidRDefault="009D3BBC" w:rsidP="009D2DDF">
            <w:pPr>
              <w:jc w:val="both"/>
              <w:rPr>
                <w:sz w:val="16"/>
                <w:szCs w:val="16"/>
              </w:rPr>
            </w:pPr>
            <w:r>
              <w:rPr>
                <w:rFonts w:ascii="CIDFont+F1" w:hAnsi="CIDFont+F1" w:cs="CIDFont+F1"/>
                <w:sz w:val="15"/>
                <w:szCs w:val="15"/>
              </w:rPr>
              <w:t>The impact of the costs you pay when entering an investment. This is the most you will pay, and you could pay less.</w:t>
            </w:r>
          </w:p>
        </w:tc>
        <w:tc>
          <w:tcPr>
            <w:tcW w:w="1669" w:type="dxa"/>
          </w:tcPr>
          <w:p w14:paraId="3A3D90B9" w14:textId="680C69F4" w:rsidR="009D3BBC" w:rsidRDefault="009D3BBC" w:rsidP="009D2DDF">
            <w:pPr>
              <w:jc w:val="both"/>
              <w:rPr>
                <w:rFonts w:ascii="CIDFont+F1" w:hAnsi="CIDFont+F1" w:cs="CIDFont+F1"/>
                <w:sz w:val="15"/>
                <w:szCs w:val="15"/>
              </w:rPr>
            </w:pPr>
            <w:r>
              <w:rPr>
                <w:sz w:val="16"/>
                <w:szCs w:val="16"/>
              </w:rPr>
              <w:t xml:space="preserve">EUR 550 </w:t>
            </w:r>
          </w:p>
        </w:tc>
      </w:tr>
      <w:tr w:rsidR="009D3BBC" w:rsidRPr="00D125D5" w14:paraId="3A9F2576" w14:textId="77777777" w:rsidTr="009D2DDF">
        <w:trPr>
          <w:trHeight w:val="201"/>
        </w:trPr>
        <w:tc>
          <w:tcPr>
            <w:tcW w:w="1229" w:type="dxa"/>
            <w:vMerge/>
          </w:tcPr>
          <w:p w14:paraId="1D6F0795" w14:textId="77777777" w:rsidR="009D3BBC" w:rsidRPr="00777E67" w:rsidRDefault="009D3BBC" w:rsidP="009D2DDF">
            <w:pPr>
              <w:jc w:val="both"/>
              <w:rPr>
                <w:sz w:val="16"/>
                <w:szCs w:val="16"/>
              </w:rPr>
            </w:pPr>
          </w:p>
        </w:tc>
        <w:tc>
          <w:tcPr>
            <w:tcW w:w="1748" w:type="dxa"/>
          </w:tcPr>
          <w:p w14:paraId="4782B1ED" w14:textId="77777777" w:rsidR="009D3BBC" w:rsidRPr="00777E67" w:rsidRDefault="009D3BBC" w:rsidP="009D2DDF">
            <w:pPr>
              <w:jc w:val="both"/>
              <w:rPr>
                <w:sz w:val="16"/>
                <w:szCs w:val="16"/>
              </w:rPr>
            </w:pPr>
            <w:r w:rsidRPr="00777E67">
              <w:rPr>
                <w:sz w:val="16"/>
                <w:szCs w:val="16"/>
              </w:rPr>
              <w:t>Exit Costs</w:t>
            </w:r>
          </w:p>
        </w:tc>
        <w:tc>
          <w:tcPr>
            <w:tcW w:w="4710" w:type="dxa"/>
          </w:tcPr>
          <w:p w14:paraId="7BF09FEB" w14:textId="77777777" w:rsidR="009D3BBC" w:rsidRPr="00D125D5" w:rsidRDefault="009D3BBC" w:rsidP="009D2DDF">
            <w:pPr>
              <w:autoSpaceDE w:val="0"/>
              <w:autoSpaceDN w:val="0"/>
              <w:adjustRightInd w:val="0"/>
              <w:rPr>
                <w:sz w:val="16"/>
                <w:szCs w:val="16"/>
              </w:rPr>
            </w:pPr>
            <w:r>
              <w:rPr>
                <w:rFonts w:ascii="CIDFont+F1" w:hAnsi="CIDFont+F1" w:cs="CIDFont+F1"/>
                <w:sz w:val="15"/>
                <w:szCs w:val="15"/>
              </w:rPr>
              <w:t>The impact of the costs of exiting your investment when it matures. We do not charge an exit fee for this product.</w:t>
            </w:r>
          </w:p>
        </w:tc>
        <w:tc>
          <w:tcPr>
            <w:tcW w:w="1669" w:type="dxa"/>
          </w:tcPr>
          <w:p w14:paraId="5933FDDE" w14:textId="77777777" w:rsidR="009D3BBC" w:rsidRDefault="009D3BBC" w:rsidP="009D2DDF">
            <w:pPr>
              <w:autoSpaceDE w:val="0"/>
              <w:autoSpaceDN w:val="0"/>
              <w:adjustRightInd w:val="0"/>
              <w:rPr>
                <w:rFonts w:ascii="CIDFont+F1" w:hAnsi="CIDFont+F1" w:cs="CIDFont+F1"/>
                <w:sz w:val="15"/>
                <w:szCs w:val="15"/>
              </w:rPr>
            </w:pPr>
            <w:r>
              <w:rPr>
                <w:sz w:val="16"/>
                <w:szCs w:val="16"/>
              </w:rPr>
              <w:t>n/a</w:t>
            </w:r>
          </w:p>
        </w:tc>
      </w:tr>
      <w:tr w:rsidR="00724053" w14:paraId="5FD43A4D" w14:textId="77777777" w:rsidTr="009D2DDF">
        <w:trPr>
          <w:trHeight w:val="542"/>
        </w:trPr>
        <w:tc>
          <w:tcPr>
            <w:tcW w:w="1229" w:type="dxa"/>
            <w:vMerge w:val="restart"/>
          </w:tcPr>
          <w:p w14:paraId="066CE45B" w14:textId="77777777" w:rsidR="00724053" w:rsidRDefault="00724053" w:rsidP="00724053">
            <w:pPr>
              <w:jc w:val="both"/>
              <w:rPr>
                <w:sz w:val="16"/>
                <w:szCs w:val="16"/>
              </w:rPr>
            </w:pPr>
            <w:r>
              <w:rPr>
                <w:b/>
                <w:bCs/>
                <w:sz w:val="16"/>
                <w:szCs w:val="16"/>
              </w:rPr>
              <w:t>Ongoing Costs</w:t>
            </w:r>
          </w:p>
        </w:tc>
        <w:tc>
          <w:tcPr>
            <w:tcW w:w="1748" w:type="dxa"/>
          </w:tcPr>
          <w:p w14:paraId="1A812B49" w14:textId="77777777" w:rsidR="00724053" w:rsidRDefault="00724053" w:rsidP="00724053">
            <w:pPr>
              <w:jc w:val="both"/>
              <w:rPr>
                <w:sz w:val="16"/>
                <w:szCs w:val="16"/>
              </w:rPr>
            </w:pPr>
            <w:r>
              <w:rPr>
                <w:sz w:val="16"/>
                <w:szCs w:val="16"/>
              </w:rPr>
              <w:t>Transaction costs</w:t>
            </w:r>
          </w:p>
        </w:tc>
        <w:tc>
          <w:tcPr>
            <w:tcW w:w="4710" w:type="dxa"/>
          </w:tcPr>
          <w:p w14:paraId="68665A25" w14:textId="11C8A10B" w:rsidR="00724053" w:rsidRPr="009D3BBC" w:rsidRDefault="00724053" w:rsidP="00724053">
            <w:pPr>
              <w:autoSpaceDE w:val="0"/>
              <w:autoSpaceDN w:val="0"/>
              <w:adjustRightInd w:val="0"/>
              <w:rPr>
                <w:color w:val="000000" w:themeColor="text1"/>
                <w:sz w:val="16"/>
                <w:szCs w:val="16"/>
              </w:rPr>
            </w:pPr>
            <w:r w:rsidRPr="00AF0878">
              <w:rPr>
                <w:rFonts w:ascii="CIDFont+F1" w:hAnsi="CIDFont+F1" w:cs="CIDFont+F1"/>
                <w:color w:val="000000" w:themeColor="text1"/>
                <w:sz w:val="15"/>
                <w:szCs w:val="15"/>
              </w:rPr>
              <w:t xml:space="preserve">0.12% of the value of your investment per year. This is an estimate of the costs </w:t>
            </w:r>
            <w:r>
              <w:rPr>
                <w:rFonts w:ascii="CIDFont+F1" w:hAnsi="CIDFont+F1" w:cs="CIDFont+F1"/>
                <w:color w:val="000000" w:themeColor="text1"/>
                <w:sz w:val="15"/>
                <w:szCs w:val="15"/>
              </w:rPr>
              <w:t xml:space="preserve">which could be </w:t>
            </w:r>
            <w:r w:rsidRPr="00AF0878">
              <w:rPr>
                <w:rFonts w:ascii="CIDFont+F1" w:hAnsi="CIDFont+F1" w:cs="CIDFont+F1"/>
                <w:color w:val="000000" w:themeColor="text1"/>
                <w:sz w:val="15"/>
                <w:szCs w:val="15"/>
              </w:rPr>
              <w:t>incurred when we buy and sell the underlying investments for the product. The actual amount will vary depending on how much we buy and sell.</w:t>
            </w:r>
          </w:p>
        </w:tc>
        <w:tc>
          <w:tcPr>
            <w:tcW w:w="1669" w:type="dxa"/>
          </w:tcPr>
          <w:p w14:paraId="399D3A59" w14:textId="3F60D03E" w:rsidR="00724053" w:rsidRDefault="00724053" w:rsidP="00724053">
            <w:pPr>
              <w:autoSpaceDE w:val="0"/>
              <w:autoSpaceDN w:val="0"/>
              <w:adjustRightInd w:val="0"/>
              <w:rPr>
                <w:rFonts w:ascii="CIDFont+F1" w:hAnsi="CIDFont+F1" w:cs="CIDFont+F1"/>
                <w:sz w:val="15"/>
                <w:szCs w:val="15"/>
              </w:rPr>
            </w:pPr>
            <w:r>
              <w:rPr>
                <w:sz w:val="16"/>
                <w:szCs w:val="16"/>
              </w:rPr>
              <w:t>EUR 12</w:t>
            </w:r>
          </w:p>
        </w:tc>
      </w:tr>
      <w:tr w:rsidR="00724053" w14:paraId="696C168F" w14:textId="77777777" w:rsidTr="009D2DDF">
        <w:trPr>
          <w:trHeight w:val="201"/>
        </w:trPr>
        <w:tc>
          <w:tcPr>
            <w:tcW w:w="1229" w:type="dxa"/>
            <w:vMerge/>
          </w:tcPr>
          <w:p w14:paraId="6BCD913C" w14:textId="77777777" w:rsidR="00724053" w:rsidRPr="00C82A2E" w:rsidDel="00777E67" w:rsidRDefault="00724053" w:rsidP="00724053">
            <w:pPr>
              <w:jc w:val="both"/>
              <w:rPr>
                <w:b/>
                <w:bCs/>
                <w:sz w:val="16"/>
                <w:szCs w:val="16"/>
              </w:rPr>
            </w:pPr>
          </w:p>
        </w:tc>
        <w:tc>
          <w:tcPr>
            <w:tcW w:w="1748" w:type="dxa"/>
          </w:tcPr>
          <w:p w14:paraId="48498EE7" w14:textId="77777777" w:rsidR="00724053" w:rsidRDefault="00724053" w:rsidP="00724053">
            <w:pPr>
              <w:jc w:val="both"/>
              <w:rPr>
                <w:sz w:val="16"/>
                <w:szCs w:val="16"/>
              </w:rPr>
            </w:pPr>
            <w:r>
              <w:rPr>
                <w:sz w:val="16"/>
                <w:szCs w:val="16"/>
              </w:rPr>
              <w:t>Management fees and other administrative or operating costs</w:t>
            </w:r>
          </w:p>
        </w:tc>
        <w:tc>
          <w:tcPr>
            <w:tcW w:w="4710" w:type="dxa"/>
          </w:tcPr>
          <w:p w14:paraId="48FC012B" w14:textId="44C9534F" w:rsidR="00724053" w:rsidRPr="009D3BBC" w:rsidRDefault="00724053" w:rsidP="00724053">
            <w:pPr>
              <w:autoSpaceDE w:val="0"/>
              <w:autoSpaceDN w:val="0"/>
              <w:adjustRightInd w:val="0"/>
              <w:rPr>
                <w:rFonts w:ascii="CIDFont+F1" w:hAnsi="CIDFont+F1" w:cs="CIDFont+F1"/>
                <w:color w:val="000000" w:themeColor="text1"/>
                <w:sz w:val="15"/>
                <w:szCs w:val="15"/>
              </w:rPr>
            </w:pPr>
            <w:r w:rsidRPr="00AF0878">
              <w:rPr>
                <w:rFonts w:ascii="CIDFont+F1" w:hAnsi="CIDFont+F1" w:cs="CIDFont+F1"/>
                <w:color w:val="000000" w:themeColor="text1"/>
                <w:sz w:val="15"/>
                <w:szCs w:val="15"/>
              </w:rPr>
              <w:t xml:space="preserve">1.79% of the value of your investment per year. This percentage is based on </w:t>
            </w:r>
            <w:r>
              <w:rPr>
                <w:rFonts w:ascii="CIDFont+F1" w:hAnsi="CIDFont+F1" w:cs="CIDFont+F1"/>
                <w:color w:val="000000" w:themeColor="text1"/>
                <w:sz w:val="15"/>
                <w:szCs w:val="15"/>
              </w:rPr>
              <w:t>contracted costs</w:t>
            </w:r>
            <w:r w:rsidRPr="00AF0878">
              <w:rPr>
                <w:rFonts w:ascii="CIDFont+F1" w:hAnsi="CIDFont+F1" w:cs="CIDFont+F1"/>
                <w:color w:val="000000" w:themeColor="text1"/>
                <w:sz w:val="15"/>
                <w:szCs w:val="15"/>
              </w:rPr>
              <w:t>.</w:t>
            </w:r>
          </w:p>
        </w:tc>
        <w:tc>
          <w:tcPr>
            <w:tcW w:w="1669" w:type="dxa"/>
          </w:tcPr>
          <w:p w14:paraId="06C5B2E1" w14:textId="449EACAA" w:rsidR="00724053" w:rsidRDefault="00724053" w:rsidP="00724053">
            <w:pPr>
              <w:autoSpaceDE w:val="0"/>
              <w:autoSpaceDN w:val="0"/>
              <w:adjustRightInd w:val="0"/>
              <w:rPr>
                <w:rFonts w:ascii="CIDFont+F1" w:hAnsi="CIDFont+F1" w:cs="CIDFont+F1"/>
                <w:sz w:val="15"/>
                <w:szCs w:val="15"/>
              </w:rPr>
            </w:pPr>
            <w:r>
              <w:rPr>
                <w:sz w:val="16"/>
                <w:szCs w:val="16"/>
              </w:rPr>
              <w:t>EUR 179</w:t>
            </w:r>
          </w:p>
        </w:tc>
      </w:tr>
      <w:tr w:rsidR="009D3BBC" w14:paraId="3DD91B21" w14:textId="77777777" w:rsidTr="009D2DDF">
        <w:trPr>
          <w:trHeight w:val="254"/>
        </w:trPr>
        <w:tc>
          <w:tcPr>
            <w:tcW w:w="1229" w:type="dxa"/>
            <w:vMerge w:val="restart"/>
          </w:tcPr>
          <w:p w14:paraId="72AA6E52" w14:textId="77777777" w:rsidR="009D3BBC" w:rsidRPr="00C82A2E" w:rsidRDefault="009D3BBC" w:rsidP="009D2DDF">
            <w:pPr>
              <w:jc w:val="both"/>
              <w:rPr>
                <w:b/>
                <w:bCs/>
                <w:sz w:val="16"/>
                <w:szCs w:val="16"/>
              </w:rPr>
            </w:pPr>
            <w:r>
              <w:rPr>
                <w:b/>
                <w:bCs/>
                <w:sz w:val="16"/>
                <w:szCs w:val="16"/>
              </w:rPr>
              <w:t>Incidental Costs</w:t>
            </w:r>
          </w:p>
        </w:tc>
        <w:tc>
          <w:tcPr>
            <w:tcW w:w="1748" w:type="dxa"/>
          </w:tcPr>
          <w:p w14:paraId="0F574218" w14:textId="77777777" w:rsidR="009D3BBC" w:rsidRDefault="009D3BBC" w:rsidP="009D2DDF">
            <w:pPr>
              <w:jc w:val="both"/>
              <w:rPr>
                <w:sz w:val="16"/>
                <w:szCs w:val="16"/>
              </w:rPr>
            </w:pPr>
            <w:r>
              <w:rPr>
                <w:sz w:val="16"/>
                <w:szCs w:val="16"/>
              </w:rPr>
              <w:t>Performance fees</w:t>
            </w:r>
          </w:p>
        </w:tc>
        <w:tc>
          <w:tcPr>
            <w:tcW w:w="4710" w:type="dxa"/>
          </w:tcPr>
          <w:p w14:paraId="218F4167" w14:textId="77777777" w:rsidR="009D3BBC" w:rsidRDefault="009D3BBC" w:rsidP="009D2DDF">
            <w:pPr>
              <w:autoSpaceDE w:val="0"/>
              <w:autoSpaceDN w:val="0"/>
              <w:adjustRightInd w:val="0"/>
              <w:rPr>
                <w:sz w:val="16"/>
                <w:szCs w:val="16"/>
              </w:rPr>
            </w:pPr>
            <w:r>
              <w:rPr>
                <w:rFonts w:ascii="CIDFont+F1" w:hAnsi="CIDFont+F1" w:cs="CIDFont+F1"/>
                <w:sz w:val="15"/>
                <w:szCs w:val="15"/>
              </w:rPr>
              <w:t>There is no performance fee for this Sub-Fund.</w:t>
            </w:r>
          </w:p>
        </w:tc>
        <w:tc>
          <w:tcPr>
            <w:tcW w:w="1669" w:type="dxa"/>
          </w:tcPr>
          <w:p w14:paraId="0FCCC61E" w14:textId="77777777" w:rsidR="009D3BBC" w:rsidRDefault="009D3BBC" w:rsidP="009D2DDF">
            <w:pPr>
              <w:autoSpaceDE w:val="0"/>
              <w:autoSpaceDN w:val="0"/>
              <w:adjustRightInd w:val="0"/>
              <w:rPr>
                <w:rFonts w:ascii="CIDFont+F1" w:hAnsi="CIDFont+F1" w:cs="CIDFont+F1"/>
                <w:sz w:val="15"/>
                <w:szCs w:val="15"/>
              </w:rPr>
            </w:pPr>
            <w:r>
              <w:rPr>
                <w:sz w:val="16"/>
                <w:szCs w:val="16"/>
              </w:rPr>
              <w:t>n/a</w:t>
            </w:r>
          </w:p>
        </w:tc>
      </w:tr>
      <w:tr w:rsidR="009D3BBC" w14:paraId="286F2281" w14:textId="77777777" w:rsidTr="009D2DDF">
        <w:trPr>
          <w:trHeight w:val="201"/>
        </w:trPr>
        <w:tc>
          <w:tcPr>
            <w:tcW w:w="1229" w:type="dxa"/>
            <w:vMerge/>
          </w:tcPr>
          <w:p w14:paraId="4CF29D99" w14:textId="77777777" w:rsidR="009D3BBC" w:rsidRPr="00C82A2E" w:rsidRDefault="009D3BBC" w:rsidP="009D2DDF">
            <w:pPr>
              <w:jc w:val="both"/>
              <w:rPr>
                <w:b/>
                <w:bCs/>
                <w:sz w:val="16"/>
                <w:szCs w:val="16"/>
              </w:rPr>
            </w:pPr>
          </w:p>
        </w:tc>
        <w:tc>
          <w:tcPr>
            <w:tcW w:w="1748" w:type="dxa"/>
          </w:tcPr>
          <w:p w14:paraId="1294E3E8" w14:textId="77777777" w:rsidR="009D3BBC" w:rsidRDefault="009D3BBC" w:rsidP="009D2DDF">
            <w:pPr>
              <w:jc w:val="both"/>
              <w:rPr>
                <w:sz w:val="16"/>
                <w:szCs w:val="16"/>
              </w:rPr>
            </w:pPr>
            <w:r>
              <w:rPr>
                <w:sz w:val="16"/>
                <w:szCs w:val="16"/>
              </w:rPr>
              <w:t>Carried Interest</w:t>
            </w:r>
          </w:p>
        </w:tc>
        <w:tc>
          <w:tcPr>
            <w:tcW w:w="4710" w:type="dxa"/>
          </w:tcPr>
          <w:p w14:paraId="74F7EF47" w14:textId="77777777" w:rsidR="009D3BBC" w:rsidRDefault="009D3BBC" w:rsidP="009D2DDF">
            <w:pPr>
              <w:jc w:val="both"/>
              <w:rPr>
                <w:sz w:val="16"/>
                <w:szCs w:val="16"/>
              </w:rPr>
            </w:pPr>
            <w:r>
              <w:rPr>
                <w:rFonts w:ascii="CIDFont+F1" w:hAnsi="CIDFont+F1" w:cs="CIDFont+F1"/>
                <w:sz w:val="15"/>
                <w:szCs w:val="15"/>
              </w:rPr>
              <w:t>There is no carried interest for this Sub-Fund</w:t>
            </w:r>
          </w:p>
        </w:tc>
        <w:tc>
          <w:tcPr>
            <w:tcW w:w="1669" w:type="dxa"/>
          </w:tcPr>
          <w:p w14:paraId="66A3793E" w14:textId="77777777" w:rsidR="009D3BBC" w:rsidRDefault="009D3BBC" w:rsidP="009D2DDF">
            <w:pPr>
              <w:jc w:val="both"/>
              <w:rPr>
                <w:rFonts w:ascii="CIDFont+F1" w:hAnsi="CIDFont+F1" w:cs="CIDFont+F1"/>
                <w:sz w:val="15"/>
                <w:szCs w:val="15"/>
              </w:rPr>
            </w:pPr>
            <w:r>
              <w:rPr>
                <w:sz w:val="16"/>
                <w:szCs w:val="16"/>
              </w:rPr>
              <w:t>n/a</w:t>
            </w:r>
          </w:p>
        </w:tc>
      </w:tr>
      <w:bookmarkEnd w:id="1"/>
    </w:tbl>
    <w:p w14:paraId="100BDF2A" w14:textId="77777777" w:rsidR="00363DC8" w:rsidRDefault="00363DC8" w:rsidP="00363DC8">
      <w:pPr>
        <w:spacing w:after="0"/>
        <w:jc w:val="both"/>
        <w:rPr>
          <w:sz w:val="16"/>
          <w:szCs w:val="16"/>
        </w:rPr>
      </w:pPr>
    </w:p>
    <w:p w14:paraId="327CFE37" w14:textId="77777777" w:rsidR="00363DC8" w:rsidRPr="00F103CE" w:rsidRDefault="00363DC8" w:rsidP="00363DC8">
      <w:pPr>
        <w:spacing w:after="0"/>
        <w:jc w:val="both"/>
        <w:rPr>
          <w:sz w:val="16"/>
          <w:szCs w:val="16"/>
        </w:rPr>
      </w:pPr>
      <w:r w:rsidRPr="00F103CE">
        <w:rPr>
          <w:sz w:val="16"/>
          <w:szCs w:val="16"/>
        </w:rPr>
        <w:t>HOW LONG SHOULD I HOLD IT AND CAN I TAKE MONEY OUT EARLY?</w:t>
      </w:r>
    </w:p>
    <w:p w14:paraId="0031410D" w14:textId="3F935970" w:rsidR="00363DC8" w:rsidRPr="00F103CE" w:rsidRDefault="00363DC8" w:rsidP="00363DC8">
      <w:pPr>
        <w:spacing w:after="0"/>
        <w:jc w:val="both"/>
        <w:rPr>
          <w:b/>
          <w:bCs/>
          <w:sz w:val="16"/>
          <w:szCs w:val="16"/>
        </w:rPr>
      </w:pPr>
      <w:r w:rsidRPr="00F103CE">
        <w:rPr>
          <w:b/>
          <w:bCs/>
          <w:sz w:val="16"/>
          <w:szCs w:val="16"/>
        </w:rPr>
        <w:t>Recommended Holding Period: 5 years</w:t>
      </w:r>
    </w:p>
    <w:p w14:paraId="7C99449E" w14:textId="77777777" w:rsidR="00363DC8" w:rsidRPr="00F103CE" w:rsidRDefault="00363DC8" w:rsidP="00363DC8">
      <w:pPr>
        <w:spacing w:after="0"/>
        <w:jc w:val="both"/>
        <w:rPr>
          <w:sz w:val="16"/>
          <w:szCs w:val="16"/>
        </w:rPr>
        <w:sectPr w:rsidR="00363DC8" w:rsidRPr="00F103CE" w:rsidSect="00F27400">
          <w:type w:val="continuous"/>
          <w:pgSz w:w="12240" w:h="15840"/>
          <w:pgMar w:top="1440" w:right="1440" w:bottom="1440" w:left="1440" w:header="720" w:footer="720" w:gutter="0"/>
          <w:cols w:space="720"/>
          <w:docGrid w:linePitch="360"/>
        </w:sectPr>
      </w:pPr>
      <w:r w:rsidRPr="00F103CE">
        <w:rPr>
          <w:noProof/>
          <w:sz w:val="16"/>
          <w:szCs w:val="16"/>
        </w:rPr>
        <mc:AlternateContent>
          <mc:Choice Requires="wps">
            <w:drawing>
              <wp:inline distT="0" distB="0" distL="0" distR="0" wp14:anchorId="2DC4843F" wp14:editId="6712423F">
                <wp:extent cx="5943600" cy="20320"/>
                <wp:effectExtent l="0" t="0" r="19050" b="36830"/>
                <wp:docPr id="7" name="Straight Connector 7"/>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3F2ABFA"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1EEA6ABF" w14:textId="753A0901" w:rsidR="00363DC8" w:rsidRDefault="00363DC8" w:rsidP="00363DC8">
      <w:pPr>
        <w:spacing w:after="0"/>
        <w:jc w:val="both"/>
        <w:rPr>
          <w:sz w:val="16"/>
          <w:szCs w:val="16"/>
        </w:rPr>
        <w:sectPr w:rsidR="00363DC8" w:rsidSect="00CE7CDC">
          <w:type w:val="continuous"/>
          <w:pgSz w:w="12240" w:h="15840"/>
          <w:pgMar w:top="1440" w:right="1440" w:bottom="1440" w:left="1440" w:header="720" w:footer="720" w:gutter="0"/>
          <w:cols w:space="720"/>
          <w:docGrid w:linePitch="360"/>
        </w:sectPr>
      </w:pPr>
      <w:r w:rsidRPr="00F103CE">
        <w:rPr>
          <w:sz w:val="16"/>
          <w:szCs w:val="16"/>
        </w:rPr>
        <w:t>The Recommended Holding Period (RHP) of this product is 5 years which</w:t>
      </w:r>
      <w:r w:rsidRPr="004B7A7D">
        <w:rPr>
          <w:sz w:val="16"/>
          <w:szCs w:val="16"/>
        </w:rPr>
        <w:t xml:space="preserve"> is the period over which an investment into the </w:t>
      </w:r>
      <w:r>
        <w:rPr>
          <w:sz w:val="16"/>
          <w:szCs w:val="16"/>
        </w:rPr>
        <w:t>p</w:t>
      </w:r>
      <w:r w:rsidRPr="004B7A7D">
        <w:rPr>
          <w:sz w:val="16"/>
          <w:szCs w:val="16"/>
        </w:rPr>
        <w:t xml:space="preserve">roduct is expected to break-even. Please note that this is not guaranteed. The more your actual holding period differs from the product's Recommended Holding Period, the more your actual risk of losing money will deviate from the product assumptions. If you wish, you can redeem before the RHP at the Net Asset Value of the </w:t>
      </w:r>
      <w:r>
        <w:rPr>
          <w:sz w:val="16"/>
          <w:szCs w:val="16"/>
        </w:rPr>
        <w:t>p</w:t>
      </w:r>
      <w:r w:rsidRPr="004B7A7D">
        <w:rPr>
          <w:sz w:val="16"/>
          <w:szCs w:val="16"/>
        </w:rPr>
        <w:t>roduct. Also, you might have needs and constraints implying a completely different holding period suitable to you.</w:t>
      </w:r>
      <w:r>
        <w:rPr>
          <w:sz w:val="16"/>
          <w:szCs w:val="16"/>
        </w:rPr>
        <w:t xml:space="preserve"> </w:t>
      </w:r>
      <w:r w:rsidRPr="004B7A7D">
        <w:rPr>
          <w:sz w:val="16"/>
          <w:szCs w:val="16"/>
        </w:rPr>
        <w:t xml:space="preserve">Thus, we recommend you discuss this point with your financial advisor. The investor can redeem their </w:t>
      </w:r>
      <w:r>
        <w:rPr>
          <w:sz w:val="16"/>
          <w:szCs w:val="16"/>
        </w:rPr>
        <w:t>shares</w:t>
      </w:r>
      <w:r w:rsidRPr="004B7A7D">
        <w:rPr>
          <w:sz w:val="16"/>
          <w:szCs w:val="16"/>
        </w:rPr>
        <w:t xml:space="preserve"> on every bank business day.</w:t>
      </w:r>
    </w:p>
    <w:p w14:paraId="220DE14D" w14:textId="77777777" w:rsidR="00363DC8" w:rsidRDefault="00363DC8" w:rsidP="00363DC8">
      <w:pPr>
        <w:spacing w:after="0"/>
        <w:jc w:val="both"/>
        <w:rPr>
          <w:sz w:val="16"/>
          <w:szCs w:val="16"/>
        </w:rPr>
        <w:sectPr w:rsidR="00363DC8" w:rsidSect="00F27400">
          <w:type w:val="continuous"/>
          <w:pgSz w:w="12240" w:h="15840"/>
          <w:pgMar w:top="1440" w:right="1440" w:bottom="1440" w:left="1440" w:header="720" w:footer="720" w:gutter="0"/>
          <w:cols w:space="720"/>
          <w:docGrid w:linePitch="360"/>
        </w:sectPr>
      </w:pPr>
    </w:p>
    <w:p w14:paraId="09891E7E" w14:textId="77777777" w:rsidR="00363DC8" w:rsidRPr="004B7A7D" w:rsidRDefault="00363DC8" w:rsidP="00363DC8">
      <w:pPr>
        <w:spacing w:after="0"/>
        <w:jc w:val="both"/>
        <w:rPr>
          <w:sz w:val="16"/>
          <w:szCs w:val="16"/>
        </w:rPr>
      </w:pPr>
      <w:r w:rsidRPr="004B7A7D">
        <w:rPr>
          <w:sz w:val="16"/>
          <w:szCs w:val="16"/>
        </w:rPr>
        <w:t>HOW CAN I COMPLAIN?</w:t>
      </w:r>
    </w:p>
    <w:p w14:paraId="6C63813E" w14:textId="77777777" w:rsidR="00363DC8" w:rsidRDefault="00363DC8" w:rsidP="00363DC8">
      <w:pPr>
        <w:spacing w:after="0"/>
        <w:jc w:val="both"/>
        <w:rPr>
          <w:sz w:val="16"/>
          <w:szCs w:val="16"/>
        </w:rPr>
        <w:sectPr w:rsidR="00363DC8"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4284512A" wp14:editId="692A8FC6">
                <wp:extent cx="5943600" cy="20320"/>
                <wp:effectExtent l="0" t="0" r="19050" b="36830"/>
                <wp:docPr id="8" name="Straight Connector 8"/>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8AF5320" id="Straight Connector 8"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09489084" w14:textId="656F6B0B" w:rsidR="00C958FB" w:rsidRDefault="00C958FB" w:rsidP="00C958FB">
      <w:pPr>
        <w:spacing w:after="0"/>
        <w:jc w:val="both"/>
        <w:rPr>
          <w:sz w:val="16"/>
          <w:szCs w:val="16"/>
        </w:rPr>
        <w:sectPr w:rsidR="00C958FB" w:rsidSect="00CE7CDC">
          <w:type w:val="continuous"/>
          <w:pgSz w:w="12240" w:h="15840"/>
          <w:pgMar w:top="1440" w:right="1440" w:bottom="1440" w:left="1440" w:header="720" w:footer="720" w:gutter="0"/>
          <w:cols w:space="720"/>
          <w:docGrid w:linePitch="360"/>
        </w:sectPr>
      </w:pPr>
      <w:r w:rsidRPr="004B7A7D">
        <w:rPr>
          <w:sz w:val="16"/>
          <w:szCs w:val="16"/>
        </w:rPr>
        <w:t>Any complaint regarding the person advising on,</w:t>
      </w:r>
      <w:r>
        <w:rPr>
          <w:sz w:val="16"/>
          <w:szCs w:val="16"/>
        </w:rPr>
        <w:t xml:space="preserve"> </w:t>
      </w:r>
      <w:r w:rsidRPr="004B7A7D">
        <w:rPr>
          <w:sz w:val="16"/>
          <w:szCs w:val="16"/>
        </w:rPr>
        <w:t xml:space="preserve">or selling the product can be submitted directly to that person or bank. Any complaint regarding the product or this document can be submitted to the distributor </w:t>
      </w:r>
      <w:r>
        <w:rPr>
          <w:sz w:val="16"/>
          <w:szCs w:val="16"/>
        </w:rPr>
        <w:t xml:space="preserve">on the following website: </w:t>
      </w:r>
      <w:hyperlink r:id="rId14" w:history="1">
        <w:r w:rsidRPr="00496C2F">
          <w:rPr>
            <w:rStyle w:val="Hyperlink"/>
            <w:sz w:val="16"/>
            <w:szCs w:val="16"/>
          </w:rPr>
          <w:t>www.blacktowerfm.com</w:t>
        </w:r>
      </w:hyperlink>
      <w:r>
        <w:rPr>
          <w:sz w:val="16"/>
          <w:szCs w:val="16"/>
        </w:rPr>
        <w:t xml:space="preserve"> or at</w:t>
      </w:r>
      <w:r w:rsidRPr="004B7A7D">
        <w:rPr>
          <w:sz w:val="16"/>
          <w:szCs w:val="16"/>
        </w:rPr>
        <w:t xml:space="preserve"> the following address: </w:t>
      </w:r>
      <w:r>
        <w:rPr>
          <w:sz w:val="16"/>
          <w:szCs w:val="16"/>
        </w:rPr>
        <w:t>Libero International SICAV plc</w:t>
      </w:r>
      <w:r w:rsidRPr="004B7A7D">
        <w:rPr>
          <w:sz w:val="16"/>
          <w:szCs w:val="16"/>
        </w:rPr>
        <w:t>,</w:t>
      </w:r>
      <w:r>
        <w:rPr>
          <w:sz w:val="16"/>
          <w:szCs w:val="16"/>
        </w:rPr>
        <w:t xml:space="preserve"> Quad Central, Q3 Level 9, Triq l-Esportaturi, Zone 1, Central Business District, Birkirkara CBD 1040, Malta</w:t>
      </w:r>
      <w:r w:rsidRPr="004B7A7D">
        <w:rPr>
          <w:sz w:val="16"/>
          <w:szCs w:val="16"/>
        </w:rPr>
        <w:t>. Investors shall note that a complaint can be also addressed by e-</w:t>
      </w:r>
      <w:r w:rsidRPr="00281D2B">
        <w:rPr>
          <w:sz w:val="16"/>
          <w:szCs w:val="16"/>
        </w:rPr>
        <w:t>mail to</w:t>
      </w:r>
      <w:r>
        <w:rPr>
          <w:sz w:val="16"/>
          <w:szCs w:val="16"/>
        </w:rPr>
        <w:t xml:space="preserve"> </w:t>
      </w:r>
      <w:r w:rsidR="00695777">
        <w:rPr>
          <w:rStyle w:val="Hyperlink"/>
          <w:color w:val="auto"/>
          <w:sz w:val="16"/>
          <w:szCs w:val="16"/>
          <w:u w:val="none"/>
        </w:rPr>
        <w:t>shareholderservicesmalta@apexgroup.com</w:t>
      </w:r>
    </w:p>
    <w:p w14:paraId="3FDCD432" w14:textId="77777777" w:rsidR="00C958FB" w:rsidRPr="004B7A7D" w:rsidRDefault="00C958FB" w:rsidP="00C958FB">
      <w:pPr>
        <w:spacing w:after="0"/>
        <w:jc w:val="both"/>
        <w:rPr>
          <w:sz w:val="16"/>
          <w:szCs w:val="16"/>
        </w:rPr>
      </w:pPr>
    </w:p>
    <w:p w14:paraId="15C55D81" w14:textId="77777777" w:rsidR="00C958FB" w:rsidRPr="004B7A7D" w:rsidRDefault="00C958FB" w:rsidP="00C958FB">
      <w:pPr>
        <w:spacing w:after="0"/>
        <w:jc w:val="both"/>
        <w:rPr>
          <w:sz w:val="16"/>
          <w:szCs w:val="16"/>
        </w:rPr>
      </w:pPr>
      <w:r w:rsidRPr="004B7A7D">
        <w:rPr>
          <w:sz w:val="16"/>
          <w:szCs w:val="16"/>
        </w:rPr>
        <w:t>OTHER RELEVANT INFORMATION</w:t>
      </w:r>
    </w:p>
    <w:p w14:paraId="4FA0E173" w14:textId="77777777" w:rsidR="00C958FB" w:rsidRDefault="00C958FB" w:rsidP="00C958FB">
      <w:pPr>
        <w:spacing w:after="0"/>
        <w:jc w:val="both"/>
        <w:rPr>
          <w:sz w:val="16"/>
          <w:szCs w:val="16"/>
        </w:rPr>
        <w:sectPr w:rsidR="00C958FB"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15B213AE" wp14:editId="6BA9A5E4">
                <wp:extent cx="5943600" cy="20320"/>
                <wp:effectExtent l="0" t="0" r="19050" b="36830"/>
                <wp:docPr id="9" name="Straight Connector 9"/>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85CC2F7"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zW68gEAADUEAAAOAAAAZHJzL2Uyb0RvYy54bWysU01z2yAQvXem/4HhXktWGrfWWM7BmfTS&#10;D0+T/gCMQGIGWAaIZf/7LkhW4ubUTi9IC/ve7nssm7uT0eQofFBgG7pclJQIy6FVtmvor6eHD58p&#10;CZHZlmmwoqFnEejd9v27zeBqUUEPuhWeIIkN9eAa2sfo6qIIvBeGhQU4YfFQgjcsYui7ovVsQHaj&#10;i6osV8UAvnUeuAgBd+/HQ7rN/FIKHn9IGUQkuqHYW8yrz+shrcV2w+rOM9crPrXB/qELw5TFojPV&#10;PYuMPHv1hsoo7iGAjAsOpgApFRdZA6pZln+oeeyZE1kLmhPcbFP4f7T8+3HviWobuqbEMoNX9Bg9&#10;U10fyQ6sRQPBk3XyaXChxvSd3fspCm7vk+iT9CZ9UQ45ZW/Ps7fiFAnHzdv1x5tViVfA8awqb6rs&#10;ffECdj7ELwIMST8N1com6axmx68hYkFMvaSkbW3JgANXfULOFAfQqn1QWucgjY/YaU+ODC/+0C1z&#10;jn4236Ad91a3JSJH3jxtKT1XecWENbXFzSR9FJv/4lmLsYefQqJ5KG8sMBONNRjnwsblVEVbzE4w&#10;iV3OwKn764avgVN+goo80n8DnhG5Mtg4g42y4EfvrqvH06VlOeZfHBh1JwsO0J7zGGRrcDazc9M7&#10;SsP/Os7wl9e+/Q0AAP//AwBQSwMEFAAGAAgAAAAhANjCLADYAAAAAwEAAA8AAABkcnMvZG93bnJl&#10;di54bWxMj0FrwkAQhe+F/odlCl5K3Rip1DQbKYL0XBXpccyOSWh2Ns2umvbXO/ZiLwOPN7z3vXwx&#10;uFadqA+NZwOTcQKKuPS24crAdrN6egEVIrLF1jMZ+KEAi+L+LsfM+jN/0GkdKyUhHDI0UMfYZVqH&#10;siaHYew7YvEOvncYRfaVtj2eJdy1Ok2SmXbYsDTU2NGypvJrfXRSsvq0G0ofd7j9/d4l9t2nk2dv&#10;zOhheHsFFWmIt2e44gs6FMK090e2QbUGZEj8u+LNpzORewPTFHSR6//sxQUAAP//AwBQSwECLQAU&#10;AAYACAAAACEAtoM4kv4AAADhAQAAEwAAAAAAAAAAAAAAAAAAAAAAW0NvbnRlbnRfVHlwZXNdLnht&#10;bFBLAQItABQABgAIAAAAIQA4/SH/1gAAAJQBAAALAAAAAAAAAAAAAAAAAC8BAABfcmVscy8ucmVs&#10;c1BLAQItABQABgAIAAAAIQD2RzW68gEAADUEAAAOAAAAAAAAAAAAAAAAAC4CAABkcnMvZTJvRG9j&#10;LnhtbFBLAQItABQABgAIAAAAIQDYwiwA2AAAAAMBAAAPAAAAAAAAAAAAAAAAAEwEAABkcnMvZG93&#10;bnJldi54bWxQSwUGAAAAAAQABADzAAAAUQUAAAAA&#10;" strokecolor="#a5a5a5 [2092]" strokeweight="1pt">
                <v:stroke joinstyle="miter"/>
                <w10:anchorlock/>
              </v:line>
            </w:pict>
          </mc:Fallback>
        </mc:AlternateContent>
      </w:r>
    </w:p>
    <w:p w14:paraId="5CA1E82D" w14:textId="7E6A7E14" w:rsidR="00913A08" w:rsidRPr="00363DC8" w:rsidRDefault="00C958FB" w:rsidP="00C958FB">
      <w:pPr>
        <w:spacing w:after="0"/>
        <w:jc w:val="both"/>
        <w:rPr>
          <w:sz w:val="16"/>
          <w:szCs w:val="16"/>
        </w:rPr>
      </w:pPr>
      <w:r w:rsidRPr="004B7A7D">
        <w:rPr>
          <w:sz w:val="16"/>
          <w:szCs w:val="16"/>
        </w:rPr>
        <w:t xml:space="preserve">This Key Information Document does not contain all information relating to this product. Further information about </w:t>
      </w:r>
      <w:r>
        <w:rPr>
          <w:sz w:val="16"/>
          <w:szCs w:val="16"/>
        </w:rPr>
        <w:t>NEXUS GLOBAL DYNAMIC PORTFOLIO</w:t>
      </w:r>
      <w:r w:rsidRPr="004B7A7D">
        <w:rPr>
          <w:sz w:val="16"/>
          <w:szCs w:val="16"/>
        </w:rPr>
        <w:t xml:space="preserve">, its </w:t>
      </w:r>
      <w:r>
        <w:rPr>
          <w:sz w:val="16"/>
          <w:szCs w:val="16"/>
        </w:rPr>
        <w:t xml:space="preserve">prospectus, </w:t>
      </w:r>
      <w:r w:rsidRPr="004B7A7D">
        <w:rPr>
          <w:sz w:val="16"/>
          <w:szCs w:val="16"/>
        </w:rPr>
        <w:t>and</w:t>
      </w:r>
      <w:r>
        <w:rPr>
          <w:sz w:val="16"/>
          <w:szCs w:val="16"/>
        </w:rPr>
        <w:t xml:space="preserve"> the</w:t>
      </w:r>
      <w:r w:rsidRPr="004B7A7D">
        <w:rPr>
          <w:sz w:val="16"/>
          <w:szCs w:val="16"/>
        </w:rPr>
        <w:t xml:space="preserve"> latest annual and semi-annual report </w:t>
      </w:r>
      <w:r>
        <w:rPr>
          <w:sz w:val="16"/>
          <w:szCs w:val="16"/>
        </w:rPr>
        <w:t xml:space="preserve">of LIBERO INTERNATIONAL SICAV PLC </w:t>
      </w:r>
      <w:r w:rsidRPr="004B7A7D">
        <w:rPr>
          <w:sz w:val="16"/>
          <w:szCs w:val="16"/>
        </w:rPr>
        <w:t xml:space="preserve">may be obtained free of charge, in </w:t>
      </w:r>
      <w:r>
        <w:rPr>
          <w:sz w:val="16"/>
          <w:szCs w:val="16"/>
        </w:rPr>
        <w:t>English</w:t>
      </w:r>
      <w:r w:rsidRPr="004B7A7D">
        <w:rPr>
          <w:sz w:val="16"/>
          <w:szCs w:val="16"/>
        </w:rPr>
        <w:t xml:space="preserve"> language, from </w:t>
      </w:r>
      <w:hyperlink r:id="rId15" w:history="1">
        <w:r w:rsidRPr="00496C2F">
          <w:rPr>
            <w:rStyle w:val="Hyperlink"/>
            <w:sz w:val="16"/>
            <w:szCs w:val="16"/>
          </w:rPr>
          <w:t>www.blacktowerfm.com</w:t>
        </w:r>
      </w:hyperlink>
      <w:r>
        <w:rPr>
          <w:sz w:val="16"/>
          <w:szCs w:val="16"/>
        </w:rPr>
        <w:t>,</w:t>
      </w:r>
      <w:r w:rsidRPr="004B7A7D">
        <w:rPr>
          <w:sz w:val="16"/>
          <w:szCs w:val="16"/>
        </w:rPr>
        <w:t xml:space="preserve"> the appointed distributors. The information contained in the Key Information Document does not constitute a recommendation to buy or sell the product and is no substitute for individual consultation with the investor's bank or </w:t>
      </w:r>
      <w:r w:rsidRPr="0030303E">
        <w:rPr>
          <w:sz w:val="16"/>
          <w:szCs w:val="16"/>
        </w:rPr>
        <w:t xml:space="preserve">advisor. Any updated version of the Key Information Document will be available on request </w:t>
      </w:r>
      <w:r>
        <w:rPr>
          <w:sz w:val="16"/>
          <w:szCs w:val="16"/>
        </w:rPr>
        <w:t xml:space="preserve">at </w:t>
      </w:r>
      <w:r w:rsidRPr="0030303E">
        <w:rPr>
          <w:sz w:val="16"/>
          <w:szCs w:val="16"/>
        </w:rPr>
        <w:t>the following address:</w:t>
      </w:r>
      <w:r w:rsidRPr="004B7A7D">
        <w:rPr>
          <w:sz w:val="16"/>
          <w:szCs w:val="16"/>
        </w:rPr>
        <w:t xml:space="preserve"> </w:t>
      </w:r>
      <w:r>
        <w:rPr>
          <w:sz w:val="16"/>
          <w:szCs w:val="16"/>
        </w:rPr>
        <w:t>Libero International SICAV plc</w:t>
      </w:r>
      <w:r w:rsidRPr="004B7A7D">
        <w:rPr>
          <w:sz w:val="16"/>
          <w:szCs w:val="16"/>
        </w:rPr>
        <w:t>,</w:t>
      </w:r>
      <w:r>
        <w:rPr>
          <w:sz w:val="16"/>
          <w:szCs w:val="16"/>
        </w:rPr>
        <w:t xml:space="preserve"> Quad Central, Q3 Level 9, Triq l-Esportaturi, Zone 1, Central Business District, Birkirkara CBD 1040, Malta</w:t>
      </w:r>
      <w:r w:rsidRPr="004B7A7D">
        <w:rPr>
          <w:sz w:val="16"/>
          <w:szCs w:val="16"/>
        </w:rPr>
        <w:t>. Investors shall note that a complaint can be also addressed by e-</w:t>
      </w:r>
      <w:r w:rsidRPr="00281D2B">
        <w:rPr>
          <w:sz w:val="16"/>
          <w:szCs w:val="16"/>
        </w:rPr>
        <w:t xml:space="preserve">mail to: </w:t>
      </w:r>
      <w:r w:rsidR="00695777">
        <w:rPr>
          <w:rStyle w:val="Hyperlink"/>
          <w:color w:val="auto"/>
          <w:sz w:val="16"/>
          <w:szCs w:val="16"/>
          <w:u w:val="none"/>
        </w:rPr>
        <w:t>shareholderservicesmalta@apexgroup.com</w:t>
      </w:r>
    </w:p>
    <w:sectPr w:rsidR="00913A08" w:rsidRPr="00363DC8" w:rsidSect="00F2740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F2A2F" w14:textId="77777777" w:rsidR="0008616C" w:rsidRDefault="0008616C">
      <w:pPr>
        <w:spacing w:after="0" w:line="240" w:lineRule="auto"/>
      </w:pPr>
      <w:r>
        <w:separator/>
      </w:r>
    </w:p>
  </w:endnote>
  <w:endnote w:type="continuationSeparator" w:id="0">
    <w:p w14:paraId="65E38F58" w14:textId="77777777" w:rsidR="0008616C" w:rsidRDefault="00086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E7CD" w14:textId="77777777" w:rsidR="006E38AB" w:rsidRDefault="00363DC8" w:rsidP="00F8039A">
    <w:pPr>
      <w:autoSpaceDE w:val="0"/>
      <w:autoSpaceDN w:val="0"/>
      <w:adjustRightInd w:val="0"/>
      <w:spacing w:after="0" w:line="240" w:lineRule="auto"/>
      <w:jc w:val="center"/>
      <w:rPr>
        <w:rFonts w:cstheme="minorHAnsi"/>
        <w:b/>
        <w:bCs/>
        <w:sz w:val="16"/>
        <w:szCs w:val="16"/>
      </w:rPr>
    </w:pPr>
    <w:r w:rsidRPr="004B7A7D">
      <w:rPr>
        <w:noProof/>
        <w:sz w:val="16"/>
        <w:szCs w:val="16"/>
      </w:rPr>
      <mc:AlternateContent>
        <mc:Choice Requires="wps">
          <w:drawing>
            <wp:inline distT="0" distB="0" distL="0" distR="0" wp14:anchorId="2A42030E" wp14:editId="417BEB0E">
              <wp:extent cx="5943600" cy="20320"/>
              <wp:effectExtent l="0" t="0" r="19050" b="36830"/>
              <wp:docPr id="14" name="Straight Connector 14"/>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2420075" id="Straight Connector 14"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77038FBE" w14:textId="77777777" w:rsidR="006E38AB" w:rsidRDefault="00363DC8" w:rsidP="00F8039A">
    <w:pPr>
      <w:autoSpaceDE w:val="0"/>
      <w:autoSpaceDN w:val="0"/>
      <w:adjustRightInd w:val="0"/>
      <w:spacing w:after="0" w:line="240" w:lineRule="auto"/>
      <w:jc w:val="center"/>
      <w:rPr>
        <w:rFonts w:cstheme="minorHAnsi"/>
        <w:b/>
        <w:bCs/>
        <w:sz w:val="16"/>
        <w:szCs w:val="16"/>
      </w:rPr>
    </w:pPr>
    <w:r>
      <w:rPr>
        <w:rFonts w:cstheme="minorHAnsi"/>
        <w:b/>
        <w:bCs/>
        <w:sz w:val="16"/>
        <w:szCs w:val="16"/>
      </w:rPr>
      <w:t>LIBERO INTERNATIONAL SICAV PLC</w:t>
    </w:r>
    <w:r w:rsidRPr="00F8039A">
      <w:rPr>
        <w:rFonts w:cstheme="minorHAnsi"/>
        <w:b/>
        <w:bCs/>
        <w:sz w:val="16"/>
        <w:szCs w:val="16"/>
      </w:rPr>
      <w:t xml:space="preserve"> – </w:t>
    </w:r>
    <w:r>
      <w:rPr>
        <w:rFonts w:cstheme="minorHAnsi"/>
        <w:b/>
        <w:bCs/>
        <w:sz w:val="16"/>
        <w:szCs w:val="16"/>
      </w:rPr>
      <w:t xml:space="preserve">QUAD CENTRAL, Q3 LEVEL 9, TRIQ L-ESPORTATURI, ZONE 1, </w:t>
    </w:r>
  </w:p>
  <w:p w14:paraId="5EAE57EB" w14:textId="77777777" w:rsidR="006E38AB" w:rsidRPr="00F8039A" w:rsidRDefault="00363DC8" w:rsidP="00F8039A">
    <w:pPr>
      <w:autoSpaceDE w:val="0"/>
      <w:autoSpaceDN w:val="0"/>
      <w:adjustRightInd w:val="0"/>
      <w:spacing w:after="0" w:line="240" w:lineRule="auto"/>
      <w:jc w:val="center"/>
      <w:rPr>
        <w:rFonts w:cstheme="minorHAnsi"/>
        <w:b/>
        <w:bCs/>
        <w:sz w:val="16"/>
        <w:szCs w:val="16"/>
      </w:rPr>
    </w:pPr>
    <w:r>
      <w:rPr>
        <w:rFonts w:cstheme="minorHAnsi"/>
        <w:b/>
        <w:bCs/>
        <w:sz w:val="16"/>
        <w:szCs w:val="16"/>
      </w:rPr>
      <w:t xml:space="preserve">CENTRAL BUSINESS DISTRICT, BIRKIRKARA CBD 1040, </w:t>
    </w:r>
    <w:r w:rsidRPr="00F8039A">
      <w:rPr>
        <w:rFonts w:cstheme="minorHAnsi"/>
        <w:b/>
        <w:bCs/>
        <w:sz w:val="16"/>
        <w:szCs w:val="16"/>
      </w:rPr>
      <w:t>MALTA</w:t>
    </w:r>
  </w:p>
  <w:p w14:paraId="616293A8" w14:textId="77777777" w:rsidR="00C958FB" w:rsidRPr="00F8039A" w:rsidRDefault="00363DC8" w:rsidP="00C958FB">
    <w:pPr>
      <w:pStyle w:val="Footer"/>
      <w:jc w:val="center"/>
      <w:rPr>
        <w:rFonts w:cstheme="minorHAnsi"/>
        <w:b/>
        <w:bCs/>
        <w:sz w:val="16"/>
        <w:szCs w:val="16"/>
      </w:rPr>
    </w:pPr>
    <w:r w:rsidRPr="00F8039A">
      <w:rPr>
        <w:rFonts w:cstheme="minorHAnsi"/>
        <w:b/>
        <w:bCs/>
        <w:sz w:val="16"/>
        <w:szCs w:val="16"/>
      </w:rPr>
      <w:t>TEL</w:t>
    </w:r>
    <w:r w:rsidRPr="00745811">
      <w:rPr>
        <w:rFonts w:cstheme="minorHAnsi"/>
        <w:b/>
        <w:bCs/>
        <w:sz w:val="16"/>
        <w:szCs w:val="16"/>
      </w:rPr>
      <w:t xml:space="preserve">: +356 </w:t>
    </w:r>
    <w:r w:rsidRPr="001933F4">
      <w:rPr>
        <w:rFonts w:cstheme="minorHAnsi"/>
        <w:b/>
        <w:bCs/>
        <w:sz w:val="16"/>
        <w:szCs w:val="16"/>
      </w:rPr>
      <w:t>277 84010</w:t>
    </w:r>
    <w:r>
      <w:rPr>
        <w:rFonts w:cstheme="minorHAnsi"/>
        <w:b/>
        <w:bCs/>
        <w:sz w:val="16"/>
        <w:szCs w:val="16"/>
      </w:rPr>
      <w:t>;</w:t>
    </w:r>
    <w:r w:rsidRPr="00745811">
      <w:rPr>
        <w:rFonts w:cstheme="minorHAnsi"/>
        <w:b/>
        <w:bCs/>
        <w:sz w:val="16"/>
        <w:szCs w:val="16"/>
      </w:rPr>
      <w:t xml:space="preserve"> </w:t>
    </w:r>
    <w:r w:rsidR="00C958FB">
      <w:rPr>
        <w:rFonts w:cstheme="minorHAnsi"/>
        <w:b/>
        <w:bCs/>
        <w:sz w:val="16"/>
        <w:szCs w:val="16"/>
      </w:rPr>
      <w:t>www.blacktowerfm.com</w:t>
    </w:r>
  </w:p>
  <w:p w14:paraId="176A400C" w14:textId="2569A819" w:rsidR="006E38AB" w:rsidRDefault="006E38AB" w:rsidP="00C958F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4B1D6" w14:textId="77777777" w:rsidR="0008616C" w:rsidRDefault="0008616C">
      <w:pPr>
        <w:spacing w:after="0" w:line="240" w:lineRule="auto"/>
      </w:pPr>
      <w:r>
        <w:separator/>
      </w:r>
    </w:p>
  </w:footnote>
  <w:footnote w:type="continuationSeparator" w:id="0">
    <w:p w14:paraId="22E9C963" w14:textId="77777777" w:rsidR="0008616C" w:rsidRDefault="000861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27114"/>
    <w:multiLevelType w:val="hybridMultilevel"/>
    <w:tmpl w:val="F2A09DB8"/>
    <w:lvl w:ilvl="0" w:tplc="E6283AE6">
      <w:numFmt w:val="bullet"/>
      <w:lvlText w:val="-"/>
      <w:lvlJc w:val="left"/>
      <w:pPr>
        <w:ind w:left="360" w:hanging="360"/>
      </w:pPr>
      <w:rPr>
        <w:rFonts w:ascii="Calibri" w:eastAsia="MS Mincho" w:hAnsi="Calibri"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20620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DC8"/>
    <w:rsid w:val="00021B02"/>
    <w:rsid w:val="00050E43"/>
    <w:rsid w:val="0008616C"/>
    <w:rsid w:val="002C1258"/>
    <w:rsid w:val="002F7FF9"/>
    <w:rsid w:val="00363DC8"/>
    <w:rsid w:val="00695777"/>
    <w:rsid w:val="006E38AB"/>
    <w:rsid w:val="00724053"/>
    <w:rsid w:val="00740FAF"/>
    <w:rsid w:val="008442C6"/>
    <w:rsid w:val="00847C09"/>
    <w:rsid w:val="00885DBF"/>
    <w:rsid w:val="008D47BD"/>
    <w:rsid w:val="00905D49"/>
    <w:rsid w:val="00913A08"/>
    <w:rsid w:val="009D3BBC"/>
    <w:rsid w:val="00A305D0"/>
    <w:rsid w:val="00A84091"/>
    <w:rsid w:val="00AE552A"/>
    <w:rsid w:val="00AF2F7A"/>
    <w:rsid w:val="00B0483D"/>
    <w:rsid w:val="00B32D39"/>
    <w:rsid w:val="00BF51A9"/>
    <w:rsid w:val="00C958FB"/>
    <w:rsid w:val="00CA189B"/>
    <w:rsid w:val="00E752E3"/>
    <w:rsid w:val="00F103CE"/>
    <w:rsid w:val="00F66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A9C2F"/>
  <w15:chartTrackingRefBased/>
  <w15:docId w15:val="{D215130B-C100-46BA-B411-2975C2954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DC8"/>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3DC8"/>
    <w:rPr>
      <w:color w:val="0563C1" w:themeColor="hyperlink"/>
      <w:u w:val="single"/>
    </w:rPr>
  </w:style>
  <w:style w:type="paragraph" w:customStyle="1" w:styleId="Default">
    <w:name w:val="Default"/>
    <w:rsid w:val="00363DC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363DC8"/>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63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DC8"/>
    <w:rPr>
      <w:rFonts w:asciiTheme="minorHAnsi" w:hAnsiTheme="minorHAnsi"/>
      <w:lang w:val="en-US"/>
    </w:rPr>
  </w:style>
  <w:style w:type="character" w:styleId="CommentReference">
    <w:name w:val="annotation reference"/>
    <w:basedOn w:val="DefaultParagraphFont"/>
    <w:uiPriority w:val="99"/>
    <w:semiHidden/>
    <w:unhideWhenUsed/>
    <w:rsid w:val="00905D49"/>
    <w:rPr>
      <w:sz w:val="16"/>
      <w:szCs w:val="16"/>
    </w:rPr>
  </w:style>
  <w:style w:type="paragraph" w:styleId="CommentText">
    <w:name w:val="annotation text"/>
    <w:basedOn w:val="Normal"/>
    <w:link w:val="CommentTextChar"/>
    <w:uiPriority w:val="99"/>
    <w:unhideWhenUsed/>
    <w:rsid w:val="00905D49"/>
    <w:pPr>
      <w:spacing w:line="240" w:lineRule="auto"/>
    </w:pPr>
    <w:rPr>
      <w:sz w:val="20"/>
      <w:szCs w:val="20"/>
    </w:rPr>
  </w:style>
  <w:style w:type="character" w:customStyle="1" w:styleId="CommentTextChar">
    <w:name w:val="Comment Text Char"/>
    <w:basedOn w:val="DefaultParagraphFont"/>
    <w:link w:val="CommentText"/>
    <w:uiPriority w:val="99"/>
    <w:rsid w:val="00905D49"/>
    <w:rPr>
      <w:rFonts w:asciiTheme="minorHAnsi" w:hAnsiTheme="minorHAnsi"/>
      <w:sz w:val="20"/>
      <w:szCs w:val="20"/>
      <w:lang w:val="en-US"/>
    </w:rPr>
  </w:style>
  <w:style w:type="paragraph" w:styleId="CommentSubject">
    <w:name w:val="annotation subject"/>
    <w:basedOn w:val="CommentText"/>
    <w:next w:val="CommentText"/>
    <w:link w:val="CommentSubjectChar"/>
    <w:uiPriority w:val="99"/>
    <w:semiHidden/>
    <w:unhideWhenUsed/>
    <w:rsid w:val="00905D49"/>
    <w:rPr>
      <w:b/>
      <w:bCs/>
    </w:rPr>
  </w:style>
  <w:style w:type="character" w:customStyle="1" w:styleId="CommentSubjectChar">
    <w:name w:val="Comment Subject Char"/>
    <w:basedOn w:val="CommentTextChar"/>
    <w:link w:val="CommentSubject"/>
    <w:uiPriority w:val="99"/>
    <w:semiHidden/>
    <w:rsid w:val="00905D49"/>
    <w:rPr>
      <w:rFonts w:asciiTheme="minorHAnsi" w:hAnsiTheme="minorHAnsi"/>
      <w:b/>
      <w:bCs/>
      <w:sz w:val="20"/>
      <w:szCs w:val="20"/>
      <w:lang w:val="en-US"/>
    </w:rPr>
  </w:style>
  <w:style w:type="paragraph" w:styleId="BalloonText">
    <w:name w:val="Balloon Text"/>
    <w:basedOn w:val="Normal"/>
    <w:link w:val="BalloonTextChar"/>
    <w:uiPriority w:val="99"/>
    <w:semiHidden/>
    <w:unhideWhenUsed/>
    <w:rsid w:val="00C958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8FB"/>
    <w:rPr>
      <w:rFonts w:ascii="Segoe UI" w:hAnsi="Segoe UI" w:cs="Segoe UI"/>
      <w:sz w:val="18"/>
      <w:szCs w:val="18"/>
      <w:lang w:val="en-US"/>
    </w:rPr>
  </w:style>
  <w:style w:type="paragraph" w:styleId="Header">
    <w:name w:val="header"/>
    <w:basedOn w:val="Normal"/>
    <w:link w:val="HeaderChar"/>
    <w:uiPriority w:val="99"/>
    <w:unhideWhenUsed/>
    <w:rsid w:val="00C958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8FB"/>
    <w:rPr>
      <w:rFonts w:asciiTheme="minorHAnsi" w:hAnsiTheme="minorHAnsi"/>
      <w:lang w:val="en-US"/>
    </w:rPr>
  </w:style>
  <w:style w:type="paragraph" w:styleId="Revision">
    <w:name w:val="Revision"/>
    <w:hidden/>
    <w:uiPriority w:val="99"/>
    <w:semiHidden/>
    <w:rsid w:val="00695777"/>
    <w:pPr>
      <w:spacing w:after="0"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acktowerfm.com" TargetMode="External"/><Relationship Id="rId5" Type="http://schemas.openxmlformats.org/officeDocument/2006/relationships/numbering" Target="numbering.xml"/><Relationship Id="rId15" Type="http://schemas.openxmlformats.org/officeDocument/2006/relationships/hyperlink" Target="http://www.blacktowerfm.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lacktowerf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874035F8A73949933018D700524D4A" ma:contentTypeVersion="17" ma:contentTypeDescription="Create a new document." ma:contentTypeScope="" ma:versionID="018b6ef466373ef48f677acd912b5d0e">
  <xsd:schema xmlns:xsd="http://www.w3.org/2001/XMLSchema" xmlns:xs="http://www.w3.org/2001/XMLSchema" xmlns:p="http://schemas.microsoft.com/office/2006/metadata/properties" xmlns:ns1="http://schemas.microsoft.com/sharepoint/v3" xmlns:ns2="9fb2e5bd-f5e5-4e5a-b918-6b465464dee9" xmlns:ns3="71a2dea0-8c35-4dd7-a7cf-cc9fb31c062e" targetNamespace="http://schemas.microsoft.com/office/2006/metadata/properties" ma:root="true" ma:fieldsID="9709f1d70cad7ea76f1b224d12e18e78" ns1:_="" ns2:_="" ns3:_="">
    <xsd:import namespace="http://schemas.microsoft.com/sharepoint/v3"/>
    <xsd:import namespace="9fb2e5bd-f5e5-4e5a-b918-6b465464dee9"/>
    <xsd:import namespace="71a2dea0-8c35-4dd7-a7cf-cc9fb31c06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b2e5bd-f5e5-4e5a-b918-6b465464dee9"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9eb8-d8a5-437c-a866-daefa0cdaeee}" ma:internalName="TaxCatchAll" ma:showField="CatchAllData" ma:web="9fb2e5bd-f5e5-4e5a-b918-6b465464de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2dea0-8c35-4dd7-a7cf-cc9fb31c06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6ea6d24-4e56-4578-bec2-493a0cd976a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a2dea0-8c35-4dd7-a7cf-cc9fb31c062e">
      <Terms xmlns="http://schemas.microsoft.com/office/infopath/2007/PartnerControls"/>
    </lcf76f155ced4ddcb4097134ff3c332f>
    <_ip_UnifiedCompliancePolicyUIAction xmlns="http://schemas.microsoft.com/sharepoint/v3" xsi:nil="true"/>
    <TaxCatchAll xmlns="9fb2e5bd-f5e5-4e5a-b918-6b465464dee9" xsi:nil="true"/>
    <_ip_UnifiedCompliancePolicyProperties xmlns="http://schemas.microsoft.com/sharepoint/v3" xsi:nil="true"/>
  </documentManagement>
</p:properties>
</file>

<file path=customXml/item4.xml>��< ? x m l   v e r s i o n = " 1 . 0 "   e n c o d i n g = " u t f - 1 6 " ? > < p r o p e r t i e s   x m l n s = " h t t p : / / w w w . i m a n a g e . c o m / w o r k / x m l s c h e m a " >  
     < d o c u m e n t i d > W O R K S I T E ! 2 6 5 2 7 5 6 . 1 < / d o c u m e n t i d >  
     < s e n d e r i d > N J M I C A L L E F < / s e n d e r i d >  
     < s e n d e r e m a i l > N J M I C A L L E F @ G A N A D O . C O M < / s e n d e r e m a i l >  
     < l a s t m o d i f i e d > 2 0 2 3 - 0 2 - 2 0 T 1 3 : 4 8 : 0 0 . 0 0 0 0 0 0 0 + 0 1 : 0 0 < / l a s t m o d i f i e d >  
     < d a t a b a s e > W O R K S I T E < / d a t a b a s e >  
 < / p r o p e r t i e s > 
</file>

<file path=customXml/itemProps1.xml><?xml version="1.0" encoding="utf-8"?>
<ds:datastoreItem xmlns:ds="http://schemas.openxmlformats.org/officeDocument/2006/customXml" ds:itemID="{42D64EE5-E58D-4493-941D-9E0E5C3A2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b2e5bd-f5e5-4e5a-b918-6b465464dee9"/>
    <ds:schemaRef ds:uri="71a2dea0-8c35-4dd7-a7cf-cc9fb31c0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272694-7604-4F76-B48A-1C0A2D7BE455}">
  <ds:schemaRefs>
    <ds:schemaRef ds:uri="http://schemas.microsoft.com/sharepoint/v3/contenttype/forms"/>
  </ds:schemaRefs>
</ds:datastoreItem>
</file>

<file path=customXml/itemProps3.xml><?xml version="1.0" encoding="utf-8"?>
<ds:datastoreItem xmlns:ds="http://schemas.openxmlformats.org/officeDocument/2006/customXml" ds:itemID="{02BCF5FD-EEC2-4D78-83EE-C51187A7F2AD}">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71a2dea0-8c35-4dd7-a7cf-cc9fb31c062e"/>
    <ds:schemaRef ds:uri="9fb2e5bd-f5e5-4e5a-b918-6b465464dee9"/>
    <ds:schemaRef ds:uri="http://www.w3.org/XML/1998/namespace"/>
  </ds:schemaRefs>
</ds:datastoreItem>
</file>

<file path=customXml/itemProps4.xml><?xml version="1.0" encoding="utf-8"?>
<ds:datastoreItem xmlns:ds="http://schemas.openxmlformats.org/officeDocument/2006/customXml" ds:itemID="{BCC978C3-4E4A-451D-985C-0E4A39D773A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1949</Words>
  <Characters>11114</Characters>
  <Application>Microsoft Office Word</Application>
  <DocSecurity>0</DocSecurity>
  <Lines>92</Lines>
  <Paragraphs>26</Paragraphs>
  <ScaleCrop>false</ScaleCrop>
  <Company/>
  <LinksUpToDate>false</LinksUpToDate>
  <CharactersWithSpaces>13037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Micallef</dc:creator>
  <cp:keywords/>
  <dc:description/>
  <cp:lastModifiedBy>Leanne Galea</cp:lastModifiedBy>
  <cp:revision>13</cp:revision>
  <dcterms:created xsi:type="dcterms:W3CDTF">2023-02-14T16:14:00Z</dcterms:created>
  <dcterms:modified xsi:type="dcterms:W3CDTF">2023-11-06T13:13:00Z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0x0101009D874035F8A73949933018D700524D4A</vt:lpwstr>
  </property>
  <property fmtid="{D5CDD505-2E9C-101B-9397-08002B2CF9AE}" pid="3" name="MediaServiceImageTags">
    <vt:lpwstr/>
  </property>
</Properties>
</file>